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12E41" w14:textId="732CEF24" w:rsidR="002D2CA0" w:rsidRPr="002D2CA0" w:rsidRDefault="00DB7795" w:rsidP="002D2CA0">
      <w:pPr>
        <w:jc w:val="both"/>
        <w:rPr>
          <w:rFonts w:ascii="Arial" w:hAnsi="Arial" w:cs="Arial"/>
          <w:b/>
          <w:szCs w:val="22"/>
        </w:rPr>
      </w:pPr>
      <w:r>
        <w:rPr>
          <w:rFonts w:ascii="Arial" w:hAnsi="Arial" w:cs="Arial"/>
          <w:b/>
          <w:szCs w:val="22"/>
        </w:rPr>
        <w:t xml:space="preserve">PD </w:t>
      </w:r>
      <w:r w:rsidR="00E02EA4">
        <w:rPr>
          <w:rFonts w:ascii="Arial" w:hAnsi="Arial" w:cs="Arial"/>
          <w:b/>
          <w:szCs w:val="22"/>
        </w:rPr>
        <w:t>PORT SERVICES</w:t>
      </w:r>
      <w:r w:rsidR="001E4903">
        <w:rPr>
          <w:rFonts w:ascii="Arial" w:hAnsi="Arial" w:cs="Arial"/>
          <w:b/>
          <w:szCs w:val="22"/>
        </w:rPr>
        <w:t xml:space="preserve"> (“the Company”)</w:t>
      </w:r>
      <w:r>
        <w:rPr>
          <w:rFonts w:ascii="Arial" w:hAnsi="Arial" w:cs="Arial"/>
          <w:b/>
          <w:szCs w:val="22"/>
        </w:rPr>
        <w:t xml:space="preserve"> MEASURES</w:t>
      </w:r>
    </w:p>
    <w:p w14:paraId="5358340D" w14:textId="370D42E8" w:rsidR="00DC3D38" w:rsidRPr="002D2CA0" w:rsidRDefault="00DB7795" w:rsidP="00DC3D38">
      <w:pPr>
        <w:jc w:val="both"/>
        <w:rPr>
          <w:rFonts w:ascii="Arial" w:hAnsi="Arial" w:cs="Arial"/>
          <w:szCs w:val="22"/>
        </w:rPr>
      </w:pPr>
      <w:r>
        <w:rPr>
          <w:rFonts w:ascii="Arial" w:hAnsi="Arial" w:cs="Arial"/>
          <w:szCs w:val="22"/>
        </w:rPr>
        <w:t xml:space="preserve">The following measures </w:t>
      </w:r>
      <w:r w:rsidR="00727268">
        <w:rPr>
          <w:rFonts w:ascii="Arial" w:hAnsi="Arial" w:cs="Arial"/>
          <w:szCs w:val="22"/>
        </w:rPr>
        <w:t xml:space="preserve">are those required </w:t>
      </w:r>
      <w:r w:rsidR="001D5D4E">
        <w:rPr>
          <w:rFonts w:ascii="Arial" w:hAnsi="Arial" w:cs="Arial"/>
          <w:szCs w:val="22"/>
        </w:rPr>
        <w:t xml:space="preserve">under the Mandatory </w:t>
      </w:r>
      <w:r w:rsidR="00727268">
        <w:rPr>
          <w:rFonts w:ascii="Arial" w:hAnsi="Arial" w:cs="Arial"/>
          <w:szCs w:val="22"/>
        </w:rPr>
        <w:t xml:space="preserve">Gender </w:t>
      </w:r>
      <w:r w:rsidR="001D5D4E">
        <w:rPr>
          <w:rFonts w:ascii="Arial" w:hAnsi="Arial" w:cs="Arial"/>
          <w:szCs w:val="22"/>
        </w:rPr>
        <w:t xml:space="preserve">Pay Gap legislation </w:t>
      </w:r>
      <w:r w:rsidR="00E02EA4">
        <w:rPr>
          <w:rFonts w:ascii="Arial" w:hAnsi="Arial" w:cs="Arial"/>
          <w:szCs w:val="22"/>
        </w:rPr>
        <w:t xml:space="preserve">for </w:t>
      </w:r>
      <w:r w:rsidR="001E4903">
        <w:rPr>
          <w:rFonts w:ascii="Arial" w:hAnsi="Arial" w:cs="Arial"/>
          <w:szCs w:val="22"/>
        </w:rPr>
        <w:t>the Company</w:t>
      </w:r>
      <w:r w:rsidR="00435CCB">
        <w:rPr>
          <w:rFonts w:ascii="Arial" w:hAnsi="Arial" w:cs="Arial"/>
          <w:szCs w:val="22"/>
        </w:rPr>
        <w:t xml:space="preserve"> </w:t>
      </w:r>
      <w:r w:rsidR="00F37E5E">
        <w:rPr>
          <w:rFonts w:ascii="Arial" w:hAnsi="Arial" w:cs="Arial"/>
          <w:szCs w:val="22"/>
        </w:rPr>
        <w:t xml:space="preserve">with a snapshot date of </w:t>
      </w:r>
      <w:r w:rsidR="00C77B23">
        <w:rPr>
          <w:rFonts w:ascii="Arial" w:hAnsi="Arial" w:cs="Arial"/>
          <w:szCs w:val="22"/>
        </w:rPr>
        <w:t>05/04/2020</w:t>
      </w:r>
      <w:r w:rsidR="00C071A1">
        <w:rPr>
          <w:rFonts w:ascii="Arial" w:hAnsi="Arial" w:cs="Arial"/>
          <w:szCs w:val="22"/>
        </w:rPr>
        <w:t>.</w:t>
      </w:r>
    </w:p>
    <w:p w14:paraId="79D1B8A7" w14:textId="77777777" w:rsidR="007442E5" w:rsidRDefault="007442E5" w:rsidP="002D2CA0">
      <w:pPr>
        <w:jc w:val="both"/>
        <w:rPr>
          <w:rFonts w:ascii="Arial" w:hAnsi="Arial" w:cs="Arial"/>
          <w:szCs w:val="22"/>
        </w:rPr>
      </w:pPr>
    </w:p>
    <w:tbl>
      <w:tblPr>
        <w:tblStyle w:val="TableGrid"/>
        <w:tblW w:w="6770" w:type="dxa"/>
        <w:jc w:val="center"/>
        <w:tblLook w:val="04A0" w:firstRow="1" w:lastRow="0" w:firstColumn="1" w:lastColumn="0" w:noHBand="0" w:noVBand="1"/>
      </w:tblPr>
      <w:tblGrid>
        <w:gridCol w:w="4644"/>
        <w:gridCol w:w="2126"/>
      </w:tblGrid>
      <w:tr w:rsidR="00F37E5E" w14:paraId="74F9F3C3" w14:textId="77777777" w:rsidTr="00F37E5E">
        <w:trPr>
          <w:trHeight w:val="850"/>
          <w:jc w:val="center"/>
        </w:trPr>
        <w:tc>
          <w:tcPr>
            <w:tcW w:w="4644" w:type="dxa"/>
            <w:vAlign w:val="center"/>
          </w:tcPr>
          <w:p w14:paraId="7DA5C804" w14:textId="77777777" w:rsidR="00F37E5E" w:rsidRPr="00B36E2C" w:rsidRDefault="00F37E5E" w:rsidP="00B36E2C">
            <w:pPr>
              <w:jc w:val="center"/>
              <w:rPr>
                <w:rFonts w:ascii="Arial" w:hAnsi="Arial" w:cs="Arial"/>
                <w:b/>
                <w:szCs w:val="22"/>
              </w:rPr>
            </w:pPr>
            <w:r>
              <w:rPr>
                <w:rFonts w:ascii="Arial" w:hAnsi="Arial" w:cs="Arial"/>
                <w:b/>
                <w:szCs w:val="22"/>
              </w:rPr>
              <w:t>Measure</w:t>
            </w:r>
          </w:p>
        </w:tc>
        <w:tc>
          <w:tcPr>
            <w:tcW w:w="2126" w:type="dxa"/>
          </w:tcPr>
          <w:p w14:paraId="5BF72A47" w14:textId="77777777" w:rsidR="00F37E5E" w:rsidRDefault="00F37E5E" w:rsidP="00FD7E8A">
            <w:pPr>
              <w:jc w:val="center"/>
              <w:rPr>
                <w:rFonts w:ascii="Arial" w:hAnsi="Arial" w:cs="Arial"/>
                <w:b/>
                <w:szCs w:val="22"/>
              </w:rPr>
            </w:pPr>
          </w:p>
          <w:p w14:paraId="341DC421" w14:textId="77777777" w:rsidR="00F37E5E" w:rsidRDefault="00F37E5E" w:rsidP="00E02EA4">
            <w:pPr>
              <w:jc w:val="center"/>
              <w:rPr>
                <w:rFonts w:ascii="Arial" w:hAnsi="Arial" w:cs="Arial"/>
                <w:b/>
                <w:szCs w:val="22"/>
              </w:rPr>
            </w:pPr>
            <w:r>
              <w:rPr>
                <w:rFonts w:ascii="Arial" w:hAnsi="Arial" w:cs="Arial"/>
                <w:b/>
                <w:szCs w:val="22"/>
              </w:rPr>
              <w:t xml:space="preserve">PD </w:t>
            </w:r>
            <w:r w:rsidR="00E02EA4">
              <w:rPr>
                <w:rFonts w:ascii="Arial" w:hAnsi="Arial" w:cs="Arial"/>
                <w:b/>
                <w:szCs w:val="22"/>
              </w:rPr>
              <w:t>Port Services</w:t>
            </w:r>
          </w:p>
        </w:tc>
      </w:tr>
      <w:tr w:rsidR="00F37E5E" w14:paraId="27AD49F8" w14:textId="77777777" w:rsidTr="00F37E5E">
        <w:trPr>
          <w:trHeight w:val="850"/>
          <w:jc w:val="center"/>
        </w:trPr>
        <w:tc>
          <w:tcPr>
            <w:tcW w:w="4644" w:type="dxa"/>
            <w:vAlign w:val="center"/>
          </w:tcPr>
          <w:p w14:paraId="34096E83" w14:textId="1D5CFC81" w:rsidR="00F37E5E" w:rsidRPr="00B36E2C" w:rsidRDefault="00F37E5E" w:rsidP="004773B4">
            <w:pPr>
              <w:jc w:val="both"/>
              <w:rPr>
                <w:rFonts w:ascii="Arial" w:hAnsi="Arial" w:cs="Arial"/>
                <w:szCs w:val="22"/>
              </w:rPr>
            </w:pPr>
            <w:r w:rsidRPr="00B36E2C">
              <w:rPr>
                <w:rFonts w:ascii="Arial" w:hAnsi="Arial" w:cs="Arial"/>
                <w:szCs w:val="22"/>
              </w:rPr>
              <w:t>The Difference in the Mean Pay of Men and Women, Expressed as a Percentage</w:t>
            </w:r>
            <w:r>
              <w:rPr>
                <w:rFonts w:ascii="Arial" w:hAnsi="Arial" w:cs="Arial"/>
                <w:szCs w:val="22"/>
              </w:rPr>
              <w:t xml:space="preserve"> (March 202</w:t>
            </w:r>
            <w:r w:rsidR="00C77B23">
              <w:rPr>
                <w:rFonts w:ascii="Arial" w:hAnsi="Arial" w:cs="Arial"/>
                <w:szCs w:val="22"/>
              </w:rPr>
              <w:t>0</w:t>
            </w:r>
            <w:r>
              <w:rPr>
                <w:rFonts w:ascii="Arial" w:hAnsi="Arial" w:cs="Arial"/>
                <w:szCs w:val="22"/>
              </w:rPr>
              <w:t>)</w:t>
            </w:r>
            <w:r w:rsidRPr="00B36E2C">
              <w:rPr>
                <w:rFonts w:ascii="Arial" w:hAnsi="Arial" w:cs="Arial"/>
                <w:szCs w:val="22"/>
              </w:rPr>
              <w:t>.</w:t>
            </w:r>
          </w:p>
        </w:tc>
        <w:tc>
          <w:tcPr>
            <w:tcW w:w="2126" w:type="dxa"/>
            <w:shd w:val="clear" w:color="auto" w:fill="E5DFEC" w:themeFill="accent4" w:themeFillTint="33"/>
            <w:vAlign w:val="center"/>
          </w:tcPr>
          <w:p w14:paraId="68E15601" w14:textId="3DE8CA05" w:rsidR="00F37E5E" w:rsidRPr="00E5708F" w:rsidRDefault="00E5708F" w:rsidP="0050267D">
            <w:pPr>
              <w:jc w:val="center"/>
              <w:rPr>
                <w:rFonts w:ascii="Arial" w:hAnsi="Arial" w:cs="Arial"/>
                <w:szCs w:val="22"/>
              </w:rPr>
            </w:pPr>
            <w:r w:rsidRPr="00E5708F">
              <w:rPr>
                <w:rFonts w:ascii="Arial" w:hAnsi="Arial" w:cs="Arial"/>
                <w:szCs w:val="22"/>
              </w:rPr>
              <w:t>-3.3%</w:t>
            </w:r>
          </w:p>
        </w:tc>
      </w:tr>
      <w:tr w:rsidR="00F37E5E" w14:paraId="2FD14274" w14:textId="77777777" w:rsidTr="00F37E5E">
        <w:trPr>
          <w:trHeight w:val="850"/>
          <w:jc w:val="center"/>
        </w:trPr>
        <w:tc>
          <w:tcPr>
            <w:tcW w:w="4644" w:type="dxa"/>
            <w:vAlign w:val="center"/>
          </w:tcPr>
          <w:p w14:paraId="3DFB6E42" w14:textId="23AA256B" w:rsidR="00F37E5E" w:rsidRPr="00B36E2C" w:rsidRDefault="00F37E5E" w:rsidP="00DD0FF8">
            <w:pPr>
              <w:jc w:val="center"/>
              <w:rPr>
                <w:rFonts w:ascii="Arial" w:hAnsi="Arial" w:cs="Arial"/>
                <w:szCs w:val="22"/>
              </w:rPr>
            </w:pPr>
            <w:r w:rsidRPr="00B36E2C">
              <w:rPr>
                <w:rFonts w:ascii="Arial" w:hAnsi="Arial" w:cs="Arial"/>
                <w:bCs/>
                <w:color w:val="000000"/>
                <w:szCs w:val="22"/>
                <w:lang w:eastAsia="en-GB"/>
              </w:rPr>
              <w:t>Difference in the Median Pay of Men and Women, Expressed as a Percentage</w:t>
            </w:r>
            <w:r>
              <w:rPr>
                <w:rFonts w:ascii="Arial" w:hAnsi="Arial" w:cs="Arial"/>
                <w:bCs/>
                <w:color w:val="000000"/>
                <w:szCs w:val="22"/>
                <w:lang w:eastAsia="en-GB"/>
              </w:rPr>
              <w:t xml:space="preserve"> (March 202</w:t>
            </w:r>
            <w:r w:rsidR="00C77B23">
              <w:rPr>
                <w:rFonts w:ascii="Arial" w:hAnsi="Arial" w:cs="Arial"/>
                <w:bCs/>
                <w:color w:val="000000"/>
                <w:szCs w:val="22"/>
                <w:lang w:eastAsia="en-GB"/>
              </w:rPr>
              <w:t>0</w:t>
            </w:r>
            <w:r>
              <w:rPr>
                <w:rFonts w:ascii="Arial" w:hAnsi="Arial" w:cs="Arial"/>
                <w:bCs/>
                <w:color w:val="000000"/>
                <w:szCs w:val="22"/>
                <w:lang w:eastAsia="en-GB"/>
              </w:rPr>
              <w:t>)</w:t>
            </w:r>
            <w:r w:rsidRPr="00B36E2C">
              <w:rPr>
                <w:rFonts w:ascii="Arial" w:hAnsi="Arial" w:cs="Arial"/>
                <w:bCs/>
                <w:color w:val="000000"/>
                <w:szCs w:val="22"/>
                <w:lang w:eastAsia="en-GB"/>
              </w:rPr>
              <w:t>.</w:t>
            </w:r>
          </w:p>
        </w:tc>
        <w:tc>
          <w:tcPr>
            <w:tcW w:w="2126" w:type="dxa"/>
            <w:shd w:val="clear" w:color="auto" w:fill="E5DFEC" w:themeFill="accent4" w:themeFillTint="33"/>
            <w:vAlign w:val="center"/>
          </w:tcPr>
          <w:p w14:paraId="71C1B889" w14:textId="64938563" w:rsidR="00F37E5E" w:rsidRPr="00E5708F" w:rsidRDefault="00E5708F" w:rsidP="00E02EA4">
            <w:pPr>
              <w:jc w:val="center"/>
              <w:rPr>
                <w:rFonts w:ascii="Arial" w:hAnsi="Arial" w:cs="Arial"/>
                <w:szCs w:val="22"/>
              </w:rPr>
            </w:pPr>
            <w:r w:rsidRPr="00E5708F">
              <w:rPr>
                <w:rFonts w:ascii="Arial" w:hAnsi="Arial" w:cs="Arial"/>
                <w:szCs w:val="22"/>
              </w:rPr>
              <w:t>-3%</w:t>
            </w:r>
          </w:p>
        </w:tc>
      </w:tr>
      <w:tr w:rsidR="00F37E5E" w14:paraId="794C9D76" w14:textId="77777777" w:rsidTr="00F37E5E">
        <w:trPr>
          <w:trHeight w:val="850"/>
          <w:jc w:val="center"/>
        </w:trPr>
        <w:tc>
          <w:tcPr>
            <w:tcW w:w="4644" w:type="dxa"/>
            <w:vAlign w:val="center"/>
          </w:tcPr>
          <w:p w14:paraId="09EF1829" w14:textId="2FC5FE15" w:rsidR="00F37E5E" w:rsidRPr="00B36E2C" w:rsidRDefault="00F37E5E" w:rsidP="004773B4">
            <w:pPr>
              <w:jc w:val="center"/>
              <w:rPr>
                <w:rFonts w:ascii="Arial" w:hAnsi="Arial" w:cs="Arial"/>
                <w:szCs w:val="22"/>
              </w:rPr>
            </w:pPr>
            <w:r w:rsidRPr="006E4F8C">
              <w:rPr>
                <w:rFonts w:ascii="Arial" w:hAnsi="Arial" w:cs="Arial"/>
                <w:bCs/>
                <w:color w:val="000000"/>
                <w:szCs w:val="22"/>
                <w:lang w:eastAsia="en-GB"/>
              </w:rPr>
              <w:t>Difference in the Mean Bonus Pay</w:t>
            </w:r>
            <w:r>
              <w:rPr>
                <w:rFonts w:ascii="Arial" w:hAnsi="Arial" w:cs="Arial"/>
                <w:bCs/>
                <w:color w:val="000000"/>
                <w:szCs w:val="22"/>
                <w:lang w:eastAsia="en-GB"/>
              </w:rPr>
              <w:t xml:space="preserve"> of Men and Women</w:t>
            </w:r>
            <w:r w:rsidRPr="006E4F8C">
              <w:rPr>
                <w:rFonts w:ascii="Arial" w:hAnsi="Arial" w:cs="Arial"/>
                <w:bCs/>
                <w:color w:val="000000"/>
                <w:szCs w:val="22"/>
                <w:lang w:eastAsia="en-GB"/>
              </w:rPr>
              <w:t>, Expressed as a Percentage</w:t>
            </w:r>
            <w:r>
              <w:rPr>
                <w:rFonts w:ascii="Arial" w:hAnsi="Arial" w:cs="Arial"/>
                <w:bCs/>
                <w:color w:val="000000"/>
                <w:szCs w:val="22"/>
                <w:lang w:eastAsia="en-GB"/>
              </w:rPr>
              <w:t xml:space="preserve"> (April 20</w:t>
            </w:r>
            <w:r w:rsidR="00C77B23">
              <w:rPr>
                <w:rFonts w:ascii="Arial" w:hAnsi="Arial" w:cs="Arial"/>
                <w:bCs/>
                <w:color w:val="000000"/>
                <w:szCs w:val="22"/>
                <w:lang w:eastAsia="en-GB"/>
              </w:rPr>
              <w:t>19</w:t>
            </w:r>
            <w:r>
              <w:rPr>
                <w:rFonts w:ascii="Arial" w:hAnsi="Arial" w:cs="Arial"/>
                <w:bCs/>
                <w:color w:val="000000"/>
                <w:szCs w:val="22"/>
                <w:lang w:eastAsia="en-GB"/>
              </w:rPr>
              <w:t xml:space="preserve"> – March 202</w:t>
            </w:r>
            <w:r w:rsidR="00C77B23">
              <w:rPr>
                <w:rFonts w:ascii="Arial" w:hAnsi="Arial" w:cs="Arial"/>
                <w:bCs/>
                <w:color w:val="000000"/>
                <w:szCs w:val="22"/>
                <w:lang w:eastAsia="en-GB"/>
              </w:rPr>
              <w:t>0</w:t>
            </w:r>
            <w:r>
              <w:rPr>
                <w:rFonts w:ascii="Arial" w:hAnsi="Arial" w:cs="Arial"/>
                <w:bCs/>
                <w:color w:val="000000"/>
                <w:szCs w:val="22"/>
                <w:lang w:eastAsia="en-GB"/>
              </w:rPr>
              <w:t>)</w:t>
            </w:r>
            <w:r w:rsidRPr="006E4F8C">
              <w:rPr>
                <w:rFonts w:ascii="Arial" w:hAnsi="Arial" w:cs="Arial"/>
                <w:bCs/>
                <w:color w:val="000000"/>
                <w:szCs w:val="22"/>
                <w:lang w:eastAsia="en-GB"/>
              </w:rPr>
              <w:t>.</w:t>
            </w:r>
          </w:p>
        </w:tc>
        <w:tc>
          <w:tcPr>
            <w:tcW w:w="2126" w:type="dxa"/>
            <w:shd w:val="clear" w:color="auto" w:fill="E5DFEC" w:themeFill="accent4" w:themeFillTint="33"/>
            <w:vAlign w:val="center"/>
          </w:tcPr>
          <w:p w14:paraId="347EA354" w14:textId="674A5FB9" w:rsidR="00F37E5E" w:rsidRPr="00E5708F" w:rsidRDefault="00E5708F" w:rsidP="00E02EA4">
            <w:pPr>
              <w:jc w:val="center"/>
              <w:rPr>
                <w:rFonts w:ascii="Arial" w:hAnsi="Arial" w:cs="Arial"/>
                <w:szCs w:val="22"/>
              </w:rPr>
            </w:pPr>
            <w:r w:rsidRPr="00E5708F">
              <w:rPr>
                <w:rFonts w:ascii="Arial" w:hAnsi="Arial" w:cs="Arial"/>
                <w:szCs w:val="22"/>
              </w:rPr>
              <w:t>50.3%</w:t>
            </w:r>
          </w:p>
        </w:tc>
      </w:tr>
      <w:tr w:rsidR="00F37E5E" w14:paraId="1818FD5B" w14:textId="77777777" w:rsidTr="00F37E5E">
        <w:trPr>
          <w:trHeight w:val="850"/>
          <w:jc w:val="center"/>
        </w:trPr>
        <w:tc>
          <w:tcPr>
            <w:tcW w:w="4644" w:type="dxa"/>
            <w:vAlign w:val="center"/>
          </w:tcPr>
          <w:p w14:paraId="0B41B0CE" w14:textId="3992635F" w:rsidR="00F37E5E" w:rsidRPr="006E4F8C" w:rsidRDefault="00F37E5E" w:rsidP="004773B4">
            <w:pPr>
              <w:jc w:val="center"/>
              <w:rPr>
                <w:rFonts w:ascii="Arial" w:hAnsi="Arial" w:cs="Arial"/>
                <w:bCs/>
                <w:color w:val="000000"/>
                <w:szCs w:val="22"/>
                <w:lang w:eastAsia="en-GB"/>
              </w:rPr>
            </w:pPr>
            <w:r w:rsidRPr="006E4F8C">
              <w:rPr>
                <w:rFonts w:ascii="Arial" w:hAnsi="Arial" w:cs="Arial"/>
                <w:bCs/>
                <w:color w:val="000000"/>
                <w:szCs w:val="22"/>
                <w:lang w:eastAsia="en-GB"/>
              </w:rPr>
              <w:t>Difference in the Me</w:t>
            </w:r>
            <w:r>
              <w:rPr>
                <w:rFonts w:ascii="Arial" w:hAnsi="Arial" w:cs="Arial"/>
                <w:bCs/>
                <w:color w:val="000000"/>
                <w:szCs w:val="22"/>
                <w:lang w:eastAsia="en-GB"/>
              </w:rPr>
              <w:t>di</w:t>
            </w:r>
            <w:r w:rsidRPr="006E4F8C">
              <w:rPr>
                <w:rFonts w:ascii="Arial" w:hAnsi="Arial" w:cs="Arial"/>
                <w:bCs/>
                <w:color w:val="000000"/>
                <w:szCs w:val="22"/>
                <w:lang w:eastAsia="en-GB"/>
              </w:rPr>
              <w:t>an Bonus Pay</w:t>
            </w:r>
            <w:r>
              <w:rPr>
                <w:rFonts w:ascii="Arial" w:hAnsi="Arial" w:cs="Arial"/>
                <w:bCs/>
                <w:color w:val="000000"/>
                <w:szCs w:val="22"/>
                <w:lang w:eastAsia="en-GB"/>
              </w:rPr>
              <w:t xml:space="preserve"> of Men and Women</w:t>
            </w:r>
            <w:r w:rsidRPr="006E4F8C">
              <w:rPr>
                <w:rFonts w:ascii="Arial" w:hAnsi="Arial" w:cs="Arial"/>
                <w:bCs/>
                <w:color w:val="000000"/>
                <w:szCs w:val="22"/>
                <w:lang w:eastAsia="en-GB"/>
              </w:rPr>
              <w:t>, Expressed as a Percentage</w:t>
            </w:r>
            <w:r>
              <w:rPr>
                <w:rFonts w:ascii="Arial" w:hAnsi="Arial" w:cs="Arial"/>
                <w:bCs/>
                <w:color w:val="000000"/>
                <w:szCs w:val="22"/>
                <w:lang w:eastAsia="en-GB"/>
              </w:rPr>
              <w:t xml:space="preserve"> (April 20</w:t>
            </w:r>
            <w:r w:rsidR="00C77B23">
              <w:rPr>
                <w:rFonts w:ascii="Arial" w:hAnsi="Arial" w:cs="Arial"/>
                <w:bCs/>
                <w:color w:val="000000"/>
                <w:szCs w:val="22"/>
                <w:lang w:eastAsia="en-GB"/>
              </w:rPr>
              <w:t>19</w:t>
            </w:r>
            <w:r>
              <w:rPr>
                <w:rFonts w:ascii="Arial" w:hAnsi="Arial" w:cs="Arial"/>
                <w:bCs/>
                <w:color w:val="000000"/>
                <w:szCs w:val="22"/>
                <w:lang w:eastAsia="en-GB"/>
              </w:rPr>
              <w:t xml:space="preserve"> – March 202</w:t>
            </w:r>
            <w:r w:rsidR="00C77B23">
              <w:rPr>
                <w:rFonts w:ascii="Arial" w:hAnsi="Arial" w:cs="Arial"/>
                <w:bCs/>
                <w:color w:val="000000"/>
                <w:szCs w:val="22"/>
                <w:lang w:eastAsia="en-GB"/>
              </w:rPr>
              <w:t>0</w:t>
            </w:r>
            <w:r>
              <w:rPr>
                <w:rFonts w:ascii="Arial" w:hAnsi="Arial" w:cs="Arial"/>
                <w:bCs/>
                <w:color w:val="000000"/>
                <w:szCs w:val="22"/>
                <w:lang w:eastAsia="en-GB"/>
              </w:rPr>
              <w:t>).</w:t>
            </w:r>
          </w:p>
        </w:tc>
        <w:tc>
          <w:tcPr>
            <w:tcW w:w="2126" w:type="dxa"/>
            <w:shd w:val="clear" w:color="auto" w:fill="E5DFEC" w:themeFill="accent4" w:themeFillTint="33"/>
            <w:vAlign w:val="center"/>
          </w:tcPr>
          <w:p w14:paraId="722888E7" w14:textId="07992A61" w:rsidR="00F37E5E" w:rsidRPr="00E5708F" w:rsidRDefault="00E5708F" w:rsidP="00866205">
            <w:pPr>
              <w:spacing w:line="360" w:lineRule="auto"/>
              <w:jc w:val="center"/>
              <w:rPr>
                <w:rFonts w:ascii="Arial" w:hAnsi="Arial" w:cs="Arial"/>
                <w:szCs w:val="22"/>
              </w:rPr>
            </w:pPr>
            <w:r w:rsidRPr="00E5708F">
              <w:rPr>
                <w:rFonts w:ascii="Arial" w:hAnsi="Arial" w:cs="Arial"/>
                <w:szCs w:val="22"/>
              </w:rPr>
              <w:t>31.2%</w:t>
            </w:r>
          </w:p>
        </w:tc>
      </w:tr>
      <w:tr w:rsidR="00F37E5E" w14:paraId="35ABBE44" w14:textId="77777777" w:rsidTr="00F37E5E">
        <w:trPr>
          <w:trHeight w:val="850"/>
          <w:jc w:val="center"/>
        </w:trPr>
        <w:tc>
          <w:tcPr>
            <w:tcW w:w="4644" w:type="dxa"/>
            <w:vAlign w:val="center"/>
          </w:tcPr>
          <w:p w14:paraId="11BC5438" w14:textId="7262F466" w:rsidR="00F37E5E" w:rsidRPr="006E4F8C" w:rsidRDefault="00F37E5E" w:rsidP="00C77B23">
            <w:pPr>
              <w:jc w:val="center"/>
              <w:rPr>
                <w:rFonts w:ascii="Arial" w:hAnsi="Arial" w:cs="Arial"/>
                <w:bCs/>
                <w:color w:val="000000"/>
                <w:szCs w:val="22"/>
                <w:lang w:eastAsia="en-GB"/>
              </w:rPr>
            </w:pPr>
            <w:r>
              <w:rPr>
                <w:rFonts w:ascii="Arial" w:hAnsi="Arial" w:cs="Arial"/>
                <w:bCs/>
                <w:color w:val="000000"/>
                <w:szCs w:val="22"/>
                <w:lang w:eastAsia="en-GB"/>
              </w:rPr>
              <w:t xml:space="preserve">Proportion of Males Receiving a Bonus </w:t>
            </w:r>
            <w:r w:rsidR="00C77B23">
              <w:rPr>
                <w:rFonts w:ascii="Arial" w:hAnsi="Arial" w:cs="Arial"/>
                <w:bCs/>
                <w:color w:val="000000"/>
                <w:szCs w:val="22"/>
                <w:lang w:eastAsia="en-GB"/>
              </w:rPr>
              <w:t>(April 2019</w:t>
            </w:r>
            <w:r w:rsidR="00F3247B">
              <w:rPr>
                <w:rFonts w:ascii="Arial" w:hAnsi="Arial" w:cs="Arial"/>
                <w:bCs/>
                <w:color w:val="000000"/>
                <w:szCs w:val="22"/>
                <w:lang w:eastAsia="en-GB"/>
              </w:rPr>
              <w:t xml:space="preserve"> – March </w:t>
            </w:r>
            <w:r w:rsidR="00C77B23">
              <w:rPr>
                <w:rFonts w:ascii="Arial" w:hAnsi="Arial" w:cs="Arial"/>
                <w:bCs/>
                <w:color w:val="000000"/>
                <w:szCs w:val="22"/>
                <w:lang w:eastAsia="en-GB"/>
              </w:rPr>
              <w:t>2020</w:t>
            </w:r>
            <w:r w:rsidR="00F3247B">
              <w:rPr>
                <w:rFonts w:ascii="Arial" w:hAnsi="Arial" w:cs="Arial"/>
                <w:bCs/>
                <w:color w:val="000000"/>
                <w:szCs w:val="22"/>
                <w:lang w:eastAsia="en-GB"/>
              </w:rPr>
              <w:t>).</w:t>
            </w:r>
          </w:p>
        </w:tc>
        <w:tc>
          <w:tcPr>
            <w:tcW w:w="2126" w:type="dxa"/>
            <w:shd w:val="clear" w:color="auto" w:fill="E5DFEC" w:themeFill="accent4" w:themeFillTint="33"/>
            <w:vAlign w:val="center"/>
          </w:tcPr>
          <w:p w14:paraId="00F798C0" w14:textId="6335B3DE" w:rsidR="00F37E5E" w:rsidRPr="00E5708F" w:rsidRDefault="00E5708F" w:rsidP="00C23ECE">
            <w:pPr>
              <w:jc w:val="center"/>
              <w:rPr>
                <w:rFonts w:ascii="Arial" w:hAnsi="Arial" w:cs="Arial"/>
                <w:szCs w:val="22"/>
              </w:rPr>
            </w:pPr>
            <w:r w:rsidRPr="00E5708F">
              <w:rPr>
                <w:rFonts w:ascii="Arial" w:hAnsi="Arial" w:cs="Arial"/>
                <w:szCs w:val="22"/>
              </w:rPr>
              <w:t>3.9%</w:t>
            </w:r>
          </w:p>
        </w:tc>
      </w:tr>
      <w:tr w:rsidR="00F37E5E" w14:paraId="0F61513B" w14:textId="77777777" w:rsidTr="00F37E5E">
        <w:trPr>
          <w:trHeight w:val="850"/>
          <w:jc w:val="center"/>
        </w:trPr>
        <w:tc>
          <w:tcPr>
            <w:tcW w:w="4644" w:type="dxa"/>
            <w:vAlign w:val="center"/>
          </w:tcPr>
          <w:p w14:paraId="18AEF93E" w14:textId="7E7F9030" w:rsidR="00F37E5E" w:rsidRDefault="00F37E5E" w:rsidP="004773B4">
            <w:pPr>
              <w:jc w:val="center"/>
              <w:rPr>
                <w:rFonts w:ascii="Arial" w:hAnsi="Arial" w:cs="Arial"/>
                <w:bCs/>
                <w:color w:val="000000"/>
                <w:szCs w:val="22"/>
                <w:lang w:eastAsia="en-GB"/>
              </w:rPr>
            </w:pPr>
            <w:r>
              <w:rPr>
                <w:rFonts w:ascii="Arial" w:hAnsi="Arial" w:cs="Arial"/>
                <w:bCs/>
                <w:color w:val="000000"/>
                <w:szCs w:val="22"/>
                <w:lang w:eastAsia="en-GB"/>
              </w:rPr>
              <w:t xml:space="preserve">Proportion of Females Receiving a Bonus </w:t>
            </w:r>
            <w:r w:rsidR="00C77B23">
              <w:rPr>
                <w:rFonts w:ascii="Arial" w:hAnsi="Arial" w:cs="Arial"/>
                <w:bCs/>
                <w:color w:val="000000"/>
                <w:szCs w:val="22"/>
                <w:lang w:eastAsia="en-GB"/>
              </w:rPr>
              <w:t>(April 2019 – March 2020</w:t>
            </w:r>
            <w:r w:rsidR="00F3247B">
              <w:rPr>
                <w:rFonts w:ascii="Arial" w:hAnsi="Arial" w:cs="Arial"/>
                <w:bCs/>
                <w:color w:val="000000"/>
                <w:szCs w:val="22"/>
                <w:lang w:eastAsia="en-GB"/>
              </w:rPr>
              <w:t>).</w:t>
            </w:r>
          </w:p>
        </w:tc>
        <w:tc>
          <w:tcPr>
            <w:tcW w:w="2126" w:type="dxa"/>
            <w:shd w:val="clear" w:color="auto" w:fill="E5DFEC" w:themeFill="accent4" w:themeFillTint="33"/>
            <w:vAlign w:val="center"/>
          </w:tcPr>
          <w:p w14:paraId="0B9C89DB" w14:textId="6D1AF764" w:rsidR="00F37E5E" w:rsidRPr="00E5708F" w:rsidRDefault="00E5708F" w:rsidP="00E02EA4">
            <w:pPr>
              <w:jc w:val="center"/>
              <w:rPr>
                <w:rFonts w:ascii="Arial" w:hAnsi="Arial" w:cs="Arial"/>
                <w:szCs w:val="22"/>
              </w:rPr>
            </w:pPr>
            <w:r w:rsidRPr="00E5708F">
              <w:rPr>
                <w:rFonts w:ascii="Arial" w:hAnsi="Arial" w:cs="Arial"/>
                <w:szCs w:val="22"/>
              </w:rPr>
              <w:t>5.1%</w:t>
            </w:r>
          </w:p>
        </w:tc>
      </w:tr>
    </w:tbl>
    <w:p w14:paraId="23760087" w14:textId="77777777" w:rsidR="001148FF" w:rsidRDefault="001148FF" w:rsidP="002D2CA0">
      <w:pPr>
        <w:jc w:val="both"/>
        <w:rPr>
          <w:rFonts w:ascii="Arial" w:hAnsi="Arial" w:cs="Arial"/>
          <w:b/>
          <w:szCs w:val="22"/>
        </w:rPr>
      </w:pPr>
    </w:p>
    <w:p w14:paraId="00FF0873" w14:textId="77777777" w:rsidR="00DC3D38" w:rsidRDefault="007442E5" w:rsidP="00DC3D38">
      <w:pPr>
        <w:jc w:val="both"/>
        <w:rPr>
          <w:rFonts w:ascii="Arial" w:hAnsi="Arial" w:cs="Arial"/>
          <w:b/>
          <w:szCs w:val="22"/>
        </w:rPr>
      </w:pPr>
      <w:r>
        <w:rPr>
          <w:rFonts w:ascii="Arial" w:hAnsi="Arial" w:cs="Arial"/>
          <w:b/>
          <w:szCs w:val="22"/>
        </w:rPr>
        <w:t>Number of Men and Women in the Four Quartile Bands</w:t>
      </w:r>
    </w:p>
    <w:p w14:paraId="52F3C93E" w14:textId="77777777" w:rsidR="0050267D" w:rsidRDefault="0050267D" w:rsidP="00DC3D38">
      <w:pPr>
        <w:jc w:val="both"/>
        <w:rPr>
          <w:rFonts w:ascii="Arial" w:hAnsi="Arial" w:cs="Arial"/>
          <w:b/>
          <w:szCs w:val="22"/>
        </w:rPr>
      </w:pPr>
    </w:p>
    <w:tbl>
      <w:tblPr>
        <w:tblStyle w:val="TableGrid"/>
        <w:tblW w:w="5822" w:type="dxa"/>
        <w:jc w:val="center"/>
        <w:tblLayout w:type="fixed"/>
        <w:tblLook w:val="04A0" w:firstRow="1" w:lastRow="0" w:firstColumn="1" w:lastColumn="0" w:noHBand="0" w:noVBand="1"/>
      </w:tblPr>
      <w:tblGrid>
        <w:gridCol w:w="817"/>
        <w:gridCol w:w="2727"/>
        <w:gridCol w:w="1134"/>
        <w:gridCol w:w="1134"/>
        <w:gridCol w:w="10"/>
      </w:tblGrid>
      <w:tr w:rsidR="00F37E5E" w14:paraId="263D08E8" w14:textId="77777777" w:rsidTr="00F37E5E">
        <w:trPr>
          <w:gridAfter w:val="1"/>
          <w:wAfter w:w="10" w:type="dxa"/>
          <w:trHeight w:val="850"/>
          <w:jc w:val="center"/>
        </w:trPr>
        <w:tc>
          <w:tcPr>
            <w:tcW w:w="3544" w:type="dxa"/>
            <w:gridSpan w:val="2"/>
            <w:tcBorders>
              <w:top w:val="nil"/>
              <w:left w:val="nil"/>
              <w:bottom w:val="single" w:sz="4" w:space="0" w:color="auto"/>
              <w:right w:val="single" w:sz="4" w:space="0" w:color="auto"/>
            </w:tcBorders>
            <w:vAlign w:val="center"/>
          </w:tcPr>
          <w:p w14:paraId="6D7C2278" w14:textId="77777777" w:rsidR="00F37E5E" w:rsidRPr="0050267D" w:rsidRDefault="00F37E5E" w:rsidP="0050267D">
            <w:pPr>
              <w:jc w:val="center"/>
              <w:rPr>
                <w:rFonts w:ascii="Arial" w:hAnsi="Arial" w:cs="Arial"/>
                <w:b/>
                <w:szCs w:val="22"/>
              </w:rPr>
            </w:pPr>
          </w:p>
        </w:tc>
        <w:tc>
          <w:tcPr>
            <w:tcW w:w="2268" w:type="dxa"/>
            <w:gridSpan w:val="2"/>
            <w:vAlign w:val="center"/>
          </w:tcPr>
          <w:p w14:paraId="4E433DD2" w14:textId="77777777" w:rsidR="00F37E5E" w:rsidRDefault="00F37E5E" w:rsidP="0050267D">
            <w:pPr>
              <w:jc w:val="center"/>
              <w:rPr>
                <w:rFonts w:ascii="Arial" w:hAnsi="Arial" w:cs="Arial"/>
                <w:b/>
                <w:szCs w:val="22"/>
              </w:rPr>
            </w:pPr>
            <w:r>
              <w:rPr>
                <w:rFonts w:ascii="Arial" w:hAnsi="Arial" w:cs="Arial"/>
                <w:b/>
                <w:szCs w:val="22"/>
              </w:rPr>
              <w:t xml:space="preserve">PD </w:t>
            </w:r>
            <w:r w:rsidR="00E02EA4">
              <w:rPr>
                <w:rFonts w:ascii="Arial" w:hAnsi="Arial" w:cs="Arial"/>
                <w:b/>
                <w:szCs w:val="22"/>
              </w:rPr>
              <w:t>Port Services</w:t>
            </w:r>
          </w:p>
          <w:p w14:paraId="04A76E3F" w14:textId="77777777" w:rsidR="00F37E5E" w:rsidRDefault="00F37E5E" w:rsidP="0050267D">
            <w:pPr>
              <w:jc w:val="center"/>
              <w:rPr>
                <w:rFonts w:ascii="Arial" w:hAnsi="Arial" w:cs="Arial"/>
                <w:b/>
                <w:szCs w:val="22"/>
              </w:rPr>
            </w:pPr>
            <w:r>
              <w:rPr>
                <w:rFonts w:ascii="Arial" w:hAnsi="Arial" w:cs="Arial"/>
                <w:b/>
                <w:szCs w:val="22"/>
              </w:rPr>
              <w:t>No. of Employees</w:t>
            </w:r>
          </w:p>
        </w:tc>
      </w:tr>
      <w:tr w:rsidR="00F37E5E" w14:paraId="466CC3E7" w14:textId="77777777" w:rsidTr="00F37E5E">
        <w:trPr>
          <w:trHeight w:val="567"/>
          <w:jc w:val="center"/>
        </w:trPr>
        <w:tc>
          <w:tcPr>
            <w:tcW w:w="817" w:type="dxa"/>
            <w:tcBorders>
              <w:top w:val="single" w:sz="4" w:space="0" w:color="auto"/>
            </w:tcBorders>
            <w:vAlign w:val="center"/>
          </w:tcPr>
          <w:p w14:paraId="0E8B7198" w14:textId="77777777" w:rsidR="00F37E5E" w:rsidRDefault="00F37E5E" w:rsidP="0050267D">
            <w:pPr>
              <w:jc w:val="center"/>
              <w:rPr>
                <w:rFonts w:ascii="Arial" w:hAnsi="Arial" w:cs="Arial"/>
                <w:b/>
                <w:szCs w:val="22"/>
              </w:rPr>
            </w:pPr>
            <w:r>
              <w:rPr>
                <w:rFonts w:ascii="Arial" w:hAnsi="Arial" w:cs="Arial"/>
                <w:b/>
                <w:szCs w:val="22"/>
              </w:rPr>
              <w:t>Band</w:t>
            </w:r>
          </w:p>
        </w:tc>
        <w:tc>
          <w:tcPr>
            <w:tcW w:w="2727" w:type="dxa"/>
            <w:tcBorders>
              <w:top w:val="single" w:sz="4" w:space="0" w:color="auto"/>
            </w:tcBorders>
            <w:vAlign w:val="center"/>
          </w:tcPr>
          <w:p w14:paraId="1691885F" w14:textId="77777777" w:rsidR="00F37E5E" w:rsidRDefault="00F37E5E" w:rsidP="0050267D">
            <w:pPr>
              <w:jc w:val="center"/>
              <w:rPr>
                <w:rFonts w:ascii="Arial" w:hAnsi="Arial" w:cs="Arial"/>
                <w:b/>
                <w:szCs w:val="22"/>
              </w:rPr>
            </w:pPr>
            <w:r w:rsidRPr="0050267D">
              <w:rPr>
                <w:rFonts w:ascii="Arial" w:hAnsi="Arial" w:cs="Arial"/>
                <w:b/>
                <w:szCs w:val="22"/>
              </w:rPr>
              <w:t>Description</w:t>
            </w:r>
          </w:p>
        </w:tc>
        <w:tc>
          <w:tcPr>
            <w:tcW w:w="1134" w:type="dxa"/>
            <w:vAlign w:val="center"/>
          </w:tcPr>
          <w:p w14:paraId="6829682B" w14:textId="77777777" w:rsidR="00F37E5E" w:rsidRDefault="00F37E5E" w:rsidP="0050267D">
            <w:pPr>
              <w:jc w:val="center"/>
              <w:rPr>
                <w:rFonts w:ascii="Arial" w:hAnsi="Arial" w:cs="Arial"/>
                <w:b/>
                <w:szCs w:val="22"/>
              </w:rPr>
            </w:pPr>
            <w:r>
              <w:rPr>
                <w:rFonts w:ascii="Arial" w:hAnsi="Arial" w:cs="Arial"/>
                <w:b/>
                <w:szCs w:val="22"/>
              </w:rPr>
              <w:t>Male</w:t>
            </w:r>
          </w:p>
        </w:tc>
        <w:tc>
          <w:tcPr>
            <w:tcW w:w="1144" w:type="dxa"/>
            <w:gridSpan w:val="2"/>
            <w:vAlign w:val="center"/>
          </w:tcPr>
          <w:p w14:paraId="178E3AA7" w14:textId="77777777" w:rsidR="00F37E5E" w:rsidRDefault="00F37E5E" w:rsidP="0050267D">
            <w:pPr>
              <w:jc w:val="center"/>
              <w:rPr>
                <w:rFonts w:ascii="Arial" w:hAnsi="Arial" w:cs="Arial"/>
                <w:b/>
                <w:szCs w:val="22"/>
              </w:rPr>
            </w:pPr>
            <w:r>
              <w:rPr>
                <w:rFonts w:ascii="Arial" w:hAnsi="Arial" w:cs="Arial"/>
                <w:b/>
                <w:szCs w:val="22"/>
              </w:rPr>
              <w:t>Female</w:t>
            </w:r>
          </w:p>
        </w:tc>
      </w:tr>
      <w:tr w:rsidR="00F37E5E" w14:paraId="00355F8E" w14:textId="77777777" w:rsidTr="00F37E5E">
        <w:trPr>
          <w:trHeight w:val="1020"/>
          <w:jc w:val="center"/>
        </w:trPr>
        <w:tc>
          <w:tcPr>
            <w:tcW w:w="817" w:type="dxa"/>
            <w:vAlign w:val="center"/>
          </w:tcPr>
          <w:p w14:paraId="55A44757" w14:textId="77777777" w:rsidR="00F37E5E" w:rsidRPr="0050267D" w:rsidRDefault="00F37E5E" w:rsidP="0050267D">
            <w:pPr>
              <w:jc w:val="center"/>
              <w:rPr>
                <w:rFonts w:ascii="Arial" w:hAnsi="Arial" w:cs="Arial"/>
                <w:szCs w:val="22"/>
              </w:rPr>
            </w:pPr>
            <w:r w:rsidRPr="0050267D">
              <w:rPr>
                <w:rFonts w:ascii="Arial" w:hAnsi="Arial" w:cs="Arial"/>
                <w:szCs w:val="22"/>
              </w:rPr>
              <w:t>A</w:t>
            </w:r>
          </w:p>
        </w:tc>
        <w:tc>
          <w:tcPr>
            <w:tcW w:w="2727" w:type="dxa"/>
            <w:vAlign w:val="center"/>
          </w:tcPr>
          <w:p w14:paraId="1A51A6F4" w14:textId="77777777" w:rsidR="00F37E5E" w:rsidRDefault="00F37E5E" w:rsidP="0050267D">
            <w:pPr>
              <w:jc w:val="center"/>
              <w:rPr>
                <w:rFonts w:ascii="Arial" w:hAnsi="Arial" w:cs="Arial"/>
                <w:b/>
                <w:szCs w:val="22"/>
              </w:rPr>
            </w:pPr>
            <w:r>
              <w:rPr>
                <w:rFonts w:ascii="Arial" w:hAnsi="Arial" w:cs="Arial"/>
                <w:szCs w:val="22"/>
              </w:rPr>
              <w:t>Employees with hourly rate at or below the lower quartile.</w:t>
            </w:r>
          </w:p>
        </w:tc>
        <w:tc>
          <w:tcPr>
            <w:tcW w:w="1134" w:type="dxa"/>
            <w:shd w:val="clear" w:color="auto" w:fill="E5DFEC" w:themeFill="accent4" w:themeFillTint="33"/>
            <w:vAlign w:val="center"/>
          </w:tcPr>
          <w:p w14:paraId="497EAA05" w14:textId="6DDBDB52" w:rsidR="00F37E5E" w:rsidRPr="001148FF" w:rsidRDefault="00E5708F" w:rsidP="0050267D">
            <w:pPr>
              <w:jc w:val="center"/>
              <w:rPr>
                <w:rFonts w:ascii="Arial" w:hAnsi="Arial" w:cs="Arial"/>
                <w:szCs w:val="22"/>
              </w:rPr>
            </w:pPr>
            <w:r>
              <w:rPr>
                <w:rFonts w:ascii="Arial" w:hAnsi="Arial" w:cs="Arial"/>
                <w:szCs w:val="22"/>
              </w:rPr>
              <w:t>87.9%</w:t>
            </w:r>
          </w:p>
        </w:tc>
        <w:tc>
          <w:tcPr>
            <w:tcW w:w="1144" w:type="dxa"/>
            <w:gridSpan w:val="2"/>
            <w:shd w:val="clear" w:color="auto" w:fill="E5DFEC" w:themeFill="accent4" w:themeFillTint="33"/>
            <w:vAlign w:val="center"/>
          </w:tcPr>
          <w:p w14:paraId="1B4D5151" w14:textId="5B2F6CF0" w:rsidR="00F37E5E" w:rsidRPr="001148FF" w:rsidRDefault="00E5708F" w:rsidP="001148FF">
            <w:pPr>
              <w:jc w:val="center"/>
              <w:rPr>
                <w:rFonts w:ascii="Arial" w:hAnsi="Arial" w:cs="Arial"/>
                <w:szCs w:val="22"/>
              </w:rPr>
            </w:pPr>
            <w:r>
              <w:rPr>
                <w:rFonts w:ascii="Arial" w:hAnsi="Arial" w:cs="Arial"/>
                <w:szCs w:val="22"/>
              </w:rPr>
              <w:t>12.1%</w:t>
            </w:r>
            <w:bookmarkStart w:id="0" w:name="_GoBack"/>
            <w:bookmarkEnd w:id="0"/>
          </w:p>
        </w:tc>
      </w:tr>
      <w:tr w:rsidR="00F37E5E" w14:paraId="6F306ED6" w14:textId="77777777" w:rsidTr="00F37E5E">
        <w:trPr>
          <w:trHeight w:val="1020"/>
          <w:jc w:val="center"/>
        </w:trPr>
        <w:tc>
          <w:tcPr>
            <w:tcW w:w="817" w:type="dxa"/>
            <w:vAlign w:val="center"/>
          </w:tcPr>
          <w:p w14:paraId="1A9F76DF" w14:textId="77777777" w:rsidR="00F37E5E" w:rsidRPr="0050267D" w:rsidRDefault="00F37E5E" w:rsidP="0050267D">
            <w:pPr>
              <w:jc w:val="center"/>
              <w:rPr>
                <w:rFonts w:ascii="Arial" w:hAnsi="Arial" w:cs="Arial"/>
                <w:szCs w:val="22"/>
              </w:rPr>
            </w:pPr>
            <w:r w:rsidRPr="0050267D">
              <w:rPr>
                <w:rFonts w:ascii="Arial" w:hAnsi="Arial" w:cs="Arial"/>
                <w:szCs w:val="22"/>
              </w:rPr>
              <w:t>B</w:t>
            </w:r>
          </w:p>
        </w:tc>
        <w:tc>
          <w:tcPr>
            <w:tcW w:w="2727" w:type="dxa"/>
            <w:vAlign w:val="center"/>
          </w:tcPr>
          <w:p w14:paraId="72A009E6" w14:textId="77777777" w:rsidR="00F37E5E" w:rsidRDefault="00F37E5E" w:rsidP="0050267D">
            <w:pPr>
              <w:jc w:val="center"/>
              <w:rPr>
                <w:rFonts w:ascii="Arial" w:hAnsi="Arial" w:cs="Arial"/>
                <w:b/>
                <w:szCs w:val="22"/>
              </w:rPr>
            </w:pPr>
            <w:r>
              <w:rPr>
                <w:rFonts w:ascii="Arial" w:hAnsi="Arial" w:cs="Arial"/>
                <w:szCs w:val="22"/>
              </w:rPr>
              <w:t>Employees with hourly rate above the lower quartile but at or below the median.</w:t>
            </w:r>
          </w:p>
        </w:tc>
        <w:tc>
          <w:tcPr>
            <w:tcW w:w="1134" w:type="dxa"/>
            <w:shd w:val="clear" w:color="auto" w:fill="E5DFEC" w:themeFill="accent4" w:themeFillTint="33"/>
            <w:vAlign w:val="center"/>
          </w:tcPr>
          <w:p w14:paraId="00A8B04E" w14:textId="08CAC346" w:rsidR="00F37E5E" w:rsidRPr="001148FF" w:rsidRDefault="00E5708F" w:rsidP="0050267D">
            <w:pPr>
              <w:jc w:val="center"/>
              <w:rPr>
                <w:rFonts w:ascii="Arial" w:hAnsi="Arial" w:cs="Arial"/>
                <w:szCs w:val="22"/>
              </w:rPr>
            </w:pPr>
            <w:r>
              <w:rPr>
                <w:rFonts w:ascii="Arial" w:hAnsi="Arial" w:cs="Arial"/>
                <w:szCs w:val="22"/>
              </w:rPr>
              <w:t>84.3%</w:t>
            </w:r>
          </w:p>
        </w:tc>
        <w:tc>
          <w:tcPr>
            <w:tcW w:w="1144" w:type="dxa"/>
            <w:gridSpan w:val="2"/>
            <w:shd w:val="clear" w:color="auto" w:fill="E5DFEC" w:themeFill="accent4" w:themeFillTint="33"/>
            <w:vAlign w:val="center"/>
          </w:tcPr>
          <w:p w14:paraId="62804DAA" w14:textId="509DF39B" w:rsidR="00F37E5E" w:rsidRPr="001148FF" w:rsidRDefault="00E5708F" w:rsidP="00C1669F">
            <w:pPr>
              <w:jc w:val="center"/>
              <w:rPr>
                <w:rFonts w:ascii="Arial" w:hAnsi="Arial" w:cs="Arial"/>
                <w:szCs w:val="22"/>
              </w:rPr>
            </w:pPr>
            <w:r>
              <w:rPr>
                <w:rFonts w:ascii="Arial" w:hAnsi="Arial" w:cs="Arial"/>
                <w:szCs w:val="22"/>
              </w:rPr>
              <w:t>15.6%</w:t>
            </w:r>
          </w:p>
        </w:tc>
      </w:tr>
      <w:tr w:rsidR="00F37E5E" w14:paraId="62FF6259" w14:textId="77777777" w:rsidTr="00F37E5E">
        <w:trPr>
          <w:trHeight w:val="1020"/>
          <w:jc w:val="center"/>
        </w:trPr>
        <w:tc>
          <w:tcPr>
            <w:tcW w:w="817" w:type="dxa"/>
            <w:vAlign w:val="center"/>
          </w:tcPr>
          <w:p w14:paraId="30190B9E" w14:textId="77777777" w:rsidR="00F37E5E" w:rsidRPr="0050267D" w:rsidRDefault="00F37E5E" w:rsidP="0050267D">
            <w:pPr>
              <w:jc w:val="center"/>
              <w:rPr>
                <w:rFonts w:ascii="Arial" w:hAnsi="Arial" w:cs="Arial"/>
                <w:szCs w:val="22"/>
              </w:rPr>
            </w:pPr>
            <w:r w:rsidRPr="0050267D">
              <w:rPr>
                <w:rFonts w:ascii="Arial" w:hAnsi="Arial" w:cs="Arial"/>
                <w:szCs w:val="22"/>
              </w:rPr>
              <w:t>C</w:t>
            </w:r>
          </w:p>
        </w:tc>
        <w:tc>
          <w:tcPr>
            <w:tcW w:w="2727" w:type="dxa"/>
            <w:vAlign w:val="center"/>
          </w:tcPr>
          <w:p w14:paraId="4BDF7A40" w14:textId="77777777" w:rsidR="00F37E5E" w:rsidRDefault="00F37E5E" w:rsidP="0050267D">
            <w:pPr>
              <w:jc w:val="center"/>
              <w:rPr>
                <w:rFonts w:ascii="Arial" w:hAnsi="Arial" w:cs="Arial"/>
                <w:b/>
                <w:szCs w:val="22"/>
              </w:rPr>
            </w:pPr>
            <w:r>
              <w:rPr>
                <w:rFonts w:ascii="Arial" w:hAnsi="Arial" w:cs="Arial"/>
                <w:szCs w:val="22"/>
              </w:rPr>
              <w:t>Employees with hourly rate above the median but at or below the upper quartile.</w:t>
            </w:r>
          </w:p>
        </w:tc>
        <w:tc>
          <w:tcPr>
            <w:tcW w:w="1134" w:type="dxa"/>
            <w:shd w:val="clear" w:color="auto" w:fill="E5DFEC" w:themeFill="accent4" w:themeFillTint="33"/>
            <w:vAlign w:val="center"/>
          </w:tcPr>
          <w:p w14:paraId="5761B886" w14:textId="6CCC5687" w:rsidR="00F37E5E" w:rsidRPr="001148FF" w:rsidRDefault="00E5708F" w:rsidP="0050267D">
            <w:pPr>
              <w:jc w:val="center"/>
              <w:rPr>
                <w:rFonts w:ascii="Arial" w:hAnsi="Arial" w:cs="Arial"/>
                <w:szCs w:val="22"/>
              </w:rPr>
            </w:pPr>
            <w:r>
              <w:rPr>
                <w:rFonts w:ascii="Arial" w:hAnsi="Arial" w:cs="Arial"/>
                <w:szCs w:val="22"/>
              </w:rPr>
              <w:t>86.8%</w:t>
            </w:r>
          </w:p>
        </w:tc>
        <w:tc>
          <w:tcPr>
            <w:tcW w:w="1144" w:type="dxa"/>
            <w:gridSpan w:val="2"/>
            <w:shd w:val="clear" w:color="auto" w:fill="E5DFEC" w:themeFill="accent4" w:themeFillTint="33"/>
            <w:vAlign w:val="center"/>
          </w:tcPr>
          <w:p w14:paraId="5AF0CD43" w14:textId="140F6531" w:rsidR="00F37E5E" w:rsidRPr="001148FF" w:rsidRDefault="00E5708F" w:rsidP="0050267D">
            <w:pPr>
              <w:jc w:val="center"/>
              <w:rPr>
                <w:rFonts w:ascii="Arial" w:hAnsi="Arial" w:cs="Arial"/>
                <w:szCs w:val="22"/>
              </w:rPr>
            </w:pPr>
            <w:r>
              <w:rPr>
                <w:rFonts w:ascii="Arial" w:hAnsi="Arial" w:cs="Arial"/>
                <w:szCs w:val="22"/>
              </w:rPr>
              <w:t>13.2%</w:t>
            </w:r>
          </w:p>
        </w:tc>
      </w:tr>
      <w:tr w:rsidR="00F37E5E" w14:paraId="6F93DCEA" w14:textId="77777777" w:rsidTr="00F37E5E">
        <w:trPr>
          <w:trHeight w:val="1020"/>
          <w:jc w:val="center"/>
        </w:trPr>
        <w:tc>
          <w:tcPr>
            <w:tcW w:w="817" w:type="dxa"/>
            <w:vAlign w:val="center"/>
          </w:tcPr>
          <w:p w14:paraId="7A6CD675" w14:textId="77777777" w:rsidR="00F37E5E" w:rsidRPr="0050267D" w:rsidRDefault="00F37E5E" w:rsidP="0050267D">
            <w:pPr>
              <w:jc w:val="center"/>
              <w:rPr>
                <w:rFonts w:ascii="Arial" w:hAnsi="Arial" w:cs="Arial"/>
                <w:szCs w:val="22"/>
              </w:rPr>
            </w:pPr>
            <w:r w:rsidRPr="0050267D">
              <w:rPr>
                <w:rFonts w:ascii="Arial" w:hAnsi="Arial" w:cs="Arial"/>
                <w:szCs w:val="22"/>
              </w:rPr>
              <w:t>D</w:t>
            </w:r>
          </w:p>
        </w:tc>
        <w:tc>
          <w:tcPr>
            <w:tcW w:w="2727" w:type="dxa"/>
            <w:vAlign w:val="center"/>
          </w:tcPr>
          <w:p w14:paraId="3C6C3673" w14:textId="77777777" w:rsidR="00F37E5E" w:rsidRDefault="00F37E5E" w:rsidP="0050267D">
            <w:pPr>
              <w:jc w:val="center"/>
              <w:rPr>
                <w:rFonts w:ascii="Arial" w:hAnsi="Arial" w:cs="Arial"/>
                <w:b/>
                <w:szCs w:val="22"/>
              </w:rPr>
            </w:pPr>
            <w:r>
              <w:rPr>
                <w:rFonts w:ascii="Arial" w:hAnsi="Arial" w:cs="Arial"/>
                <w:szCs w:val="22"/>
              </w:rPr>
              <w:t>Employees with hourly rate above the upper quartile.</w:t>
            </w:r>
          </w:p>
        </w:tc>
        <w:tc>
          <w:tcPr>
            <w:tcW w:w="1134" w:type="dxa"/>
            <w:shd w:val="clear" w:color="auto" w:fill="E5DFEC" w:themeFill="accent4" w:themeFillTint="33"/>
            <w:vAlign w:val="center"/>
          </w:tcPr>
          <w:p w14:paraId="1E719BA4" w14:textId="13764FD7" w:rsidR="00F37E5E" w:rsidRPr="001148FF" w:rsidRDefault="00E5708F" w:rsidP="0050267D">
            <w:pPr>
              <w:jc w:val="center"/>
              <w:rPr>
                <w:rFonts w:ascii="Arial" w:hAnsi="Arial" w:cs="Arial"/>
                <w:szCs w:val="22"/>
              </w:rPr>
            </w:pPr>
            <w:r>
              <w:rPr>
                <w:rFonts w:ascii="Arial" w:hAnsi="Arial" w:cs="Arial"/>
                <w:szCs w:val="22"/>
              </w:rPr>
              <w:t>83.1%</w:t>
            </w:r>
          </w:p>
        </w:tc>
        <w:tc>
          <w:tcPr>
            <w:tcW w:w="1144" w:type="dxa"/>
            <w:gridSpan w:val="2"/>
            <w:shd w:val="clear" w:color="auto" w:fill="E5DFEC" w:themeFill="accent4" w:themeFillTint="33"/>
            <w:vAlign w:val="center"/>
          </w:tcPr>
          <w:p w14:paraId="076CAF75" w14:textId="22049D6C" w:rsidR="00F37E5E" w:rsidRPr="001148FF" w:rsidRDefault="00E5708F" w:rsidP="0050267D">
            <w:pPr>
              <w:jc w:val="center"/>
              <w:rPr>
                <w:rFonts w:ascii="Arial" w:hAnsi="Arial" w:cs="Arial"/>
                <w:szCs w:val="22"/>
              </w:rPr>
            </w:pPr>
            <w:r>
              <w:rPr>
                <w:rFonts w:ascii="Arial" w:hAnsi="Arial" w:cs="Arial"/>
                <w:szCs w:val="22"/>
              </w:rPr>
              <w:t>16.9%</w:t>
            </w:r>
          </w:p>
        </w:tc>
      </w:tr>
    </w:tbl>
    <w:p w14:paraId="168EECCE" w14:textId="77777777" w:rsidR="00AF15F7" w:rsidRDefault="00AF15F7" w:rsidP="00492ADB">
      <w:pPr>
        <w:rPr>
          <w:rFonts w:ascii="Arial" w:hAnsi="Arial" w:cs="Arial"/>
          <w:b/>
        </w:rPr>
      </w:pPr>
    </w:p>
    <w:p w14:paraId="041F4E9E" w14:textId="77777777" w:rsidR="00AF15F7" w:rsidRDefault="00AF15F7" w:rsidP="00492ADB">
      <w:pPr>
        <w:rPr>
          <w:rFonts w:ascii="Arial" w:hAnsi="Arial" w:cs="Arial"/>
          <w:b/>
        </w:rPr>
      </w:pPr>
    </w:p>
    <w:p w14:paraId="4017A438" w14:textId="77777777" w:rsidR="00492ADB" w:rsidRPr="0065485D" w:rsidRDefault="00492ADB" w:rsidP="0065485D">
      <w:pPr>
        <w:rPr>
          <w:rFonts w:ascii="Arial" w:hAnsi="Arial" w:cs="Arial"/>
          <w:b/>
        </w:rPr>
      </w:pPr>
      <w:r w:rsidRPr="0065485D">
        <w:rPr>
          <w:rFonts w:ascii="Arial" w:hAnsi="Arial" w:cs="Arial"/>
          <w:b/>
        </w:rPr>
        <w:lastRenderedPageBreak/>
        <w:t>Gender Pay Gap Statement Notes</w:t>
      </w:r>
    </w:p>
    <w:p w14:paraId="6603C13F" w14:textId="77777777" w:rsidR="00492ADB" w:rsidRPr="0065485D" w:rsidRDefault="00492ADB" w:rsidP="0065485D">
      <w:pPr>
        <w:rPr>
          <w:rFonts w:ascii="Arial" w:hAnsi="Arial" w:cs="Arial"/>
          <w:b/>
        </w:rPr>
      </w:pPr>
    </w:p>
    <w:p w14:paraId="391983F9" w14:textId="71D5E3A9" w:rsidR="0075406F" w:rsidRPr="0065485D" w:rsidRDefault="00492ADB" w:rsidP="0065485D">
      <w:pPr>
        <w:pStyle w:val="ListParagraph"/>
        <w:numPr>
          <w:ilvl w:val="0"/>
          <w:numId w:val="6"/>
        </w:numPr>
        <w:spacing w:after="200" w:line="276" w:lineRule="auto"/>
        <w:jc w:val="both"/>
        <w:rPr>
          <w:rFonts w:ascii="Arial" w:hAnsi="Arial" w:cs="Arial"/>
        </w:rPr>
      </w:pPr>
      <w:r w:rsidRPr="0065485D">
        <w:rPr>
          <w:rFonts w:ascii="Arial" w:hAnsi="Arial" w:cs="Arial"/>
        </w:rPr>
        <w:t xml:space="preserve">As required by the </w:t>
      </w:r>
      <w:r w:rsidRPr="00CA365B">
        <w:rPr>
          <w:rFonts w:ascii="Arial" w:hAnsi="Arial" w:cs="Arial"/>
        </w:rPr>
        <w:t>relevant legislation, the data in this report refer</w:t>
      </w:r>
      <w:r w:rsidR="00B05947" w:rsidRPr="00CA365B">
        <w:rPr>
          <w:rFonts w:ascii="Arial" w:hAnsi="Arial" w:cs="Arial"/>
        </w:rPr>
        <w:t xml:space="preserve">s to the </w:t>
      </w:r>
      <w:r w:rsidR="001E4903">
        <w:rPr>
          <w:rFonts w:ascii="Arial" w:hAnsi="Arial" w:cs="Arial"/>
        </w:rPr>
        <w:t>C</w:t>
      </w:r>
      <w:r w:rsidR="00B05947" w:rsidRPr="00CA365B">
        <w:rPr>
          <w:rFonts w:ascii="Arial" w:hAnsi="Arial" w:cs="Arial"/>
        </w:rPr>
        <w:t>ompany</w:t>
      </w:r>
      <w:r w:rsidR="001E4903">
        <w:rPr>
          <w:rFonts w:ascii="Arial" w:hAnsi="Arial" w:cs="Arial"/>
        </w:rPr>
        <w:t xml:space="preserve">, </w:t>
      </w:r>
      <w:r w:rsidR="009B6D2A" w:rsidRPr="00CA365B">
        <w:rPr>
          <w:rFonts w:ascii="Arial" w:hAnsi="Arial" w:cs="Arial"/>
        </w:rPr>
        <w:t xml:space="preserve">which is </w:t>
      </w:r>
      <w:r w:rsidR="009C5CBE">
        <w:rPr>
          <w:rFonts w:ascii="Arial" w:hAnsi="Arial" w:cs="Arial"/>
        </w:rPr>
        <w:t>part of the</w:t>
      </w:r>
      <w:r w:rsidR="009B6D2A" w:rsidRPr="00CA365B">
        <w:rPr>
          <w:rFonts w:ascii="Arial" w:hAnsi="Arial" w:cs="Arial"/>
        </w:rPr>
        <w:t xml:space="preserve"> PD Ports</w:t>
      </w:r>
      <w:r w:rsidR="001E4903">
        <w:rPr>
          <w:rFonts w:ascii="Arial" w:hAnsi="Arial" w:cs="Arial"/>
        </w:rPr>
        <w:t xml:space="preserve"> Group</w:t>
      </w:r>
      <w:r w:rsidR="0075406F" w:rsidRPr="00CA365B">
        <w:rPr>
          <w:rFonts w:ascii="Arial" w:hAnsi="Arial" w:cs="Arial"/>
        </w:rPr>
        <w:t>.</w:t>
      </w:r>
      <w:r w:rsidR="0075406F" w:rsidRPr="0065485D">
        <w:rPr>
          <w:rFonts w:ascii="Arial" w:hAnsi="Arial" w:cs="Arial"/>
        </w:rPr>
        <w:t xml:space="preserve"> </w:t>
      </w:r>
    </w:p>
    <w:p w14:paraId="22E8CB7D" w14:textId="77777777" w:rsidR="0075406F" w:rsidRPr="0065485D" w:rsidRDefault="0075406F" w:rsidP="0065485D">
      <w:pPr>
        <w:pStyle w:val="ListParagraph"/>
        <w:spacing w:after="200" w:line="276" w:lineRule="auto"/>
        <w:jc w:val="both"/>
        <w:rPr>
          <w:rFonts w:ascii="Arial" w:hAnsi="Arial" w:cs="Arial"/>
        </w:rPr>
      </w:pPr>
    </w:p>
    <w:p w14:paraId="57D340B1" w14:textId="1B8DAF89" w:rsidR="00492ADB" w:rsidRPr="001E4903" w:rsidRDefault="001E4903" w:rsidP="001E4903">
      <w:pPr>
        <w:pStyle w:val="ListParagraph"/>
        <w:numPr>
          <w:ilvl w:val="0"/>
          <w:numId w:val="6"/>
        </w:numPr>
        <w:spacing w:after="200" w:line="276" w:lineRule="auto"/>
        <w:jc w:val="both"/>
        <w:rPr>
          <w:rFonts w:ascii="Arial" w:hAnsi="Arial" w:cs="Arial"/>
        </w:rPr>
      </w:pPr>
      <w:r w:rsidRPr="0065485D">
        <w:rPr>
          <w:rFonts w:ascii="Arial" w:hAnsi="Arial" w:cs="Arial"/>
        </w:rPr>
        <w:t xml:space="preserve">The fact that the legislation requires </w:t>
      </w:r>
      <w:r>
        <w:rPr>
          <w:rFonts w:ascii="Arial" w:hAnsi="Arial" w:cs="Arial"/>
        </w:rPr>
        <w:t>the Company</w:t>
      </w:r>
      <w:r w:rsidRPr="0065485D">
        <w:rPr>
          <w:rFonts w:ascii="Arial" w:hAnsi="Arial" w:cs="Arial"/>
        </w:rPr>
        <w:t xml:space="preserve"> to report </w:t>
      </w:r>
      <w:r>
        <w:rPr>
          <w:rFonts w:ascii="Arial" w:hAnsi="Arial" w:cs="Arial"/>
        </w:rPr>
        <w:t xml:space="preserve">in isolation </w:t>
      </w:r>
      <w:r w:rsidRPr="0065485D">
        <w:rPr>
          <w:rFonts w:ascii="Arial" w:hAnsi="Arial" w:cs="Arial"/>
        </w:rPr>
        <w:t xml:space="preserve">means that the resultant Gender Pay Gap figures are not a true reflection of the Gender Pay Gap across </w:t>
      </w:r>
      <w:r>
        <w:rPr>
          <w:rFonts w:ascii="Arial" w:hAnsi="Arial" w:cs="Arial"/>
        </w:rPr>
        <w:t xml:space="preserve">the wider </w:t>
      </w:r>
      <w:r w:rsidRPr="0065485D">
        <w:rPr>
          <w:rFonts w:ascii="Arial" w:hAnsi="Arial" w:cs="Arial"/>
        </w:rPr>
        <w:t xml:space="preserve">PD Ports </w:t>
      </w:r>
      <w:r>
        <w:rPr>
          <w:rFonts w:ascii="Arial" w:hAnsi="Arial" w:cs="Arial"/>
        </w:rPr>
        <w:t xml:space="preserve">Group </w:t>
      </w:r>
      <w:r w:rsidRPr="0065485D">
        <w:rPr>
          <w:rFonts w:ascii="Arial" w:hAnsi="Arial" w:cs="Arial"/>
        </w:rPr>
        <w:t>as a whole. As such, the decision</w:t>
      </w:r>
      <w:r>
        <w:rPr>
          <w:rFonts w:ascii="Arial" w:hAnsi="Arial" w:cs="Arial"/>
        </w:rPr>
        <w:t xml:space="preserve"> has been taken</w:t>
      </w:r>
      <w:r w:rsidRPr="0065485D">
        <w:rPr>
          <w:rFonts w:ascii="Arial" w:hAnsi="Arial" w:cs="Arial"/>
        </w:rPr>
        <w:t xml:space="preserve"> to</w:t>
      </w:r>
      <w:r>
        <w:rPr>
          <w:rFonts w:ascii="Arial" w:hAnsi="Arial" w:cs="Arial"/>
        </w:rPr>
        <w:t>, going forward,</w:t>
      </w:r>
      <w:r w:rsidRPr="0065485D">
        <w:rPr>
          <w:rFonts w:ascii="Arial" w:hAnsi="Arial" w:cs="Arial"/>
        </w:rPr>
        <w:t xml:space="preserve"> voluntarily calculate and publish </w:t>
      </w:r>
      <w:r>
        <w:rPr>
          <w:rFonts w:ascii="Arial" w:hAnsi="Arial" w:cs="Arial"/>
        </w:rPr>
        <w:t>the</w:t>
      </w:r>
      <w:r w:rsidRPr="0065485D">
        <w:rPr>
          <w:rFonts w:ascii="Arial" w:hAnsi="Arial" w:cs="Arial"/>
        </w:rPr>
        <w:t xml:space="preserve"> Gender Pay Gap statistics for the whole </w:t>
      </w:r>
      <w:r>
        <w:rPr>
          <w:rFonts w:ascii="Arial" w:hAnsi="Arial" w:cs="Arial"/>
        </w:rPr>
        <w:t>PD Group</w:t>
      </w:r>
      <w:r w:rsidRPr="0065485D">
        <w:rPr>
          <w:rFonts w:ascii="Arial" w:hAnsi="Arial" w:cs="Arial"/>
        </w:rPr>
        <w:t xml:space="preserve"> on </w:t>
      </w:r>
      <w:r>
        <w:rPr>
          <w:rFonts w:ascii="Arial" w:hAnsi="Arial" w:cs="Arial"/>
        </w:rPr>
        <w:t>the PD Group</w:t>
      </w:r>
      <w:r w:rsidRPr="0065485D">
        <w:rPr>
          <w:rFonts w:ascii="Arial" w:hAnsi="Arial" w:cs="Arial"/>
        </w:rPr>
        <w:t xml:space="preserve"> website. This will allow </w:t>
      </w:r>
      <w:r>
        <w:rPr>
          <w:rFonts w:ascii="Arial" w:hAnsi="Arial" w:cs="Arial"/>
        </w:rPr>
        <w:t>the analysis of</w:t>
      </w:r>
      <w:r w:rsidRPr="0065485D">
        <w:rPr>
          <w:rFonts w:ascii="Arial" w:hAnsi="Arial" w:cs="Arial"/>
        </w:rPr>
        <w:t xml:space="preserve"> </w:t>
      </w:r>
      <w:r>
        <w:rPr>
          <w:rFonts w:ascii="Arial" w:hAnsi="Arial" w:cs="Arial"/>
        </w:rPr>
        <w:t xml:space="preserve">a </w:t>
      </w:r>
      <w:r w:rsidRPr="0065485D">
        <w:rPr>
          <w:rFonts w:ascii="Arial" w:hAnsi="Arial" w:cs="Arial"/>
        </w:rPr>
        <w:t xml:space="preserve">more appropriate set of statistics in order to understand </w:t>
      </w:r>
      <w:r>
        <w:rPr>
          <w:rFonts w:ascii="Arial" w:hAnsi="Arial" w:cs="Arial"/>
        </w:rPr>
        <w:t>the</w:t>
      </w:r>
      <w:r w:rsidRPr="0065485D">
        <w:rPr>
          <w:rFonts w:ascii="Arial" w:hAnsi="Arial" w:cs="Arial"/>
        </w:rPr>
        <w:t xml:space="preserve"> Gender Pay Gap</w:t>
      </w:r>
      <w:r>
        <w:rPr>
          <w:rFonts w:ascii="Arial" w:hAnsi="Arial" w:cs="Arial"/>
        </w:rPr>
        <w:t xml:space="preserve"> which, in turn, will</w:t>
      </w:r>
      <w:r w:rsidRPr="0065485D">
        <w:rPr>
          <w:rFonts w:ascii="Arial" w:hAnsi="Arial" w:cs="Arial"/>
        </w:rPr>
        <w:t xml:space="preserve"> support future initiatives </w:t>
      </w:r>
      <w:r>
        <w:rPr>
          <w:rFonts w:ascii="Arial" w:hAnsi="Arial" w:cs="Arial"/>
        </w:rPr>
        <w:t xml:space="preserve">and drive </w:t>
      </w:r>
      <w:r w:rsidRPr="0065485D">
        <w:rPr>
          <w:rFonts w:ascii="Arial" w:hAnsi="Arial" w:cs="Arial"/>
        </w:rPr>
        <w:t xml:space="preserve">a more diverse and inclusive workforce within the </w:t>
      </w:r>
      <w:r>
        <w:rPr>
          <w:rFonts w:ascii="Arial" w:hAnsi="Arial" w:cs="Arial"/>
        </w:rPr>
        <w:t>PD Group</w:t>
      </w:r>
      <w:r w:rsidRPr="0065485D">
        <w:rPr>
          <w:rFonts w:ascii="Arial" w:hAnsi="Arial" w:cs="Arial"/>
        </w:rPr>
        <w:t xml:space="preserve">. </w:t>
      </w:r>
      <w:r w:rsidR="0075406F" w:rsidRPr="001E4903">
        <w:rPr>
          <w:rFonts w:ascii="Arial" w:hAnsi="Arial" w:cs="Arial"/>
        </w:rPr>
        <w:t xml:space="preserve"> </w:t>
      </w:r>
    </w:p>
    <w:p w14:paraId="5E65AEAD" w14:textId="77777777" w:rsidR="00492ADB" w:rsidRPr="0065485D" w:rsidRDefault="00492ADB" w:rsidP="0065485D">
      <w:pPr>
        <w:pStyle w:val="ListParagraph"/>
        <w:rPr>
          <w:rFonts w:ascii="Arial" w:hAnsi="Arial" w:cs="Arial"/>
        </w:rPr>
      </w:pPr>
    </w:p>
    <w:p w14:paraId="7DEAFDA8" w14:textId="3E919F2E" w:rsidR="000073E5" w:rsidRPr="0065485D" w:rsidRDefault="001E4903" w:rsidP="0065485D">
      <w:pPr>
        <w:pStyle w:val="ListParagraph"/>
        <w:numPr>
          <w:ilvl w:val="0"/>
          <w:numId w:val="6"/>
        </w:numPr>
        <w:spacing w:after="200" w:line="276" w:lineRule="auto"/>
        <w:jc w:val="both"/>
        <w:rPr>
          <w:rFonts w:ascii="Arial" w:hAnsi="Arial" w:cs="Arial"/>
        </w:rPr>
      </w:pPr>
      <w:r w:rsidRPr="0065485D">
        <w:rPr>
          <w:rFonts w:ascii="Arial" w:hAnsi="Arial" w:cs="Arial"/>
        </w:rPr>
        <w:t xml:space="preserve">For the remainder of this statement however, </w:t>
      </w:r>
      <w:r>
        <w:rPr>
          <w:rFonts w:ascii="Arial" w:hAnsi="Arial" w:cs="Arial"/>
        </w:rPr>
        <w:t>the focus will be on the Company</w:t>
      </w:r>
      <w:r w:rsidR="0075406F" w:rsidRPr="0065485D">
        <w:rPr>
          <w:rFonts w:ascii="Arial" w:hAnsi="Arial" w:cs="Arial"/>
        </w:rPr>
        <w:t xml:space="preserve">. </w:t>
      </w:r>
      <w:r w:rsidR="00791CFF">
        <w:rPr>
          <w:rFonts w:ascii="Arial" w:hAnsi="Arial" w:cs="Arial"/>
        </w:rPr>
        <w:t xml:space="preserve">The mean and median gender pay gap are in favour of female employees, which is positive for an industry which tends to be male dominated. </w:t>
      </w:r>
      <w:r w:rsidR="00CA365B">
        <w:rPr>
          <w:rFonts w:ascii="Arial" w:hAnsi="Arial" w:cs="Arial"/>
        </w:rPr>
        <w:t>The proportions of men and women in each of the four quartile pay bands is also fairly evenly spread.</w:t>
      </w:r>
    </w:p>
    <w:p w14:paraId="3B121BEE" w14:textId="77777777" w:rsidR="000073E5" w:rsidRPr="0065485D" w:rsidRDefault="000073E5" w:rsidP="0065485D">
      <w:pPr>
        <w:pStyle w:val="ListParagraph"/>
        <w:rPr>
          <w:rFonts w:ascii="Arial" w:hAnsi="Arial" w:cs="Arial"/>
        </w:rPr>
      </w:pPr>
    </w:p>
    <w:p w14:paraId="138AD040" w14:textId="77777777" w:rsidR="001E4903" w:rsidRDefault="0065485D" w:rsidP="001E4903">
      <w:pPr>
        <w:pStyle w:val="ListParagraph"/>
        <w:numPr>
          <w:ilvl w:val="0"/>
          <w:numId w:val="6"/>
        </w:numPr>
        <w:spacing w:after="200" w:line="276" w:lineRule="auto"/>
        <w:jc w:val="both"/>
        <w:rPr>
          <w:rFonts w:ascii="Arial" w:hAnsi="Arial" w:cs="Arial"/>
        </w:rPr>
      </w:pPr>
      <w:r w:rsidRPr="001E4903">
        <w:rPr>
          <w:rFonts w:ascii="Arial" w:hAnsi="Arial" w:cs="Arial"/>
        </w:rPr>
        <w:t>Wh</w:t>
      </w:r>
      <w:r w:rsidR="00CA365B" w:rsidRPr="001E4903">
        <w:rPr>
          <w:rFonts w:ascii="Arial" w:hAnsi="Arial" w:cs="Arial"/>
        </w:rPr>
        <w:t xml:space="preserve">ilst the results of the Gender Pay Gap statistics are positive for </w:t>
      </w:r>
      <w:r w:rsidR="001E4903" w:rsidRPr="001E4903">
        <w:rPr>
          <w:rFonts w:ascii="Arial" w:hAnsi="Arial" w:cs="Arial"/>
        </w:rPr>
        <w:t>the Company</w:t>
      </w:r>
      <w:r w:rsidRPr="001E4903">
        <w:rPr>
          <w:rFonts w:ascii="Arial" w:hAnsi="Arial" w:cs="Arial"/>
        </w:rPr>
        <w:t xml:space="preserve">, </w:t>
      </w:r>
      <w:r w:rsidR="001E4903" w:rsidRPr="001E4903">
        <w:rPr>
          <w:rFonts w:ascii="Arial" w:hAnsi="Arial" w:cs="Arial"/>
        </w:rPr>
        <w:t xml:space="preserve">it is determined to progress further and on a wider scale.  One example of this is that the Company has recently commenced a Diversity and Inclusion project with the aim of monitoring and actively improving the diversity of it’s employees. </w:t>
      </w:r>
    </w:p>
    <w:p w14:paraId="4F63D867" w14:textId="77777777" w:rsidR="001E4903" w:rsidRPr="001E4903" w:rsidRDefault="001E4903" w:rsidP="001E4903">
      <w:pPr>
        <w:pStyle w:val="ListParagraph"/>
        <w:rPr>
          <w:rFonts w:ascii="Arial" w:hAnsi="Arial" w:cs="Arial"/>
        </w:rPr>
      </w:pPr>
    </w:p>
    <w:p w14:paraId="2D1C7A96" w14:textId="01693FB3" w:rsidR="001E4903" w:rsidRPr="001E4903" w:rsidRDefault="001E4903" w:rsidP="001E4903">
      <w:pPr>
        <w:pStyle w:val="ListParagraph"/>
        <w:numPr>
          <w:ilvl w:val="0"/>
          <w:numId w:val="6"/>
        </w:numPr>
        <w:spacing w:after="200" w:line="276" w:lineRule="auto"/>
        <w:jc w:val="both"/>
        <w:rPr>
          <w:rFonts w:ascii="Arial" w:hAnsi="Arial" w:cs="Arial"/>
        </w:rPr>
      </w:pPr>
      <w:r w:rsidRPr="001E4903">
        <w:rPr>
          <w:rFonts w:ascii="Arial" w:hAnsi="Arial" w:cs="Arial"/>
        </w:rPr>
        <w:t xml:space="preserve">Ultimately, it is important to remember that the gender pay gaps for the Company do not result from paying men and women differently for the same or equivalent work, but from the different roles in which men and women are naturally attracted.  </w:t>
      </w:r>
    </w:p>
    <w:p w14:paraId="2D6A55D4" w14:textId="77777777" w:rsidR="001E4903" w:rsidRPr="0065485D" w:rsidRDefault="001E4903" w:rsidP="0065485D">
      <w:pPr>
        <w:pStyle w:val="ListParagraph"/>
        <w:rPr>
          <w:rFonts w:ascii="Arial" w:hAnsi="Arial" w:cs="Arial"/>
        </w:rPr>
      </w:pPr>
    </w:p>
    <w:p w14:paraId="2B48C413" w14:textId="77777777" w:rsidR="00492ADB" w:rsidRPr="0065485D" w:rsidRDefault="00492ADB" w:rsidP="00492ADB">
      <w:pPr>
        <w:pStyle w:val="ListParagraph"/>
        <w:rPr>
          <w:rFonts w:ascii="Arial" w:hAnsi="Arial" w:cs="Arial"/>
        </w:rPr>
      </w:pPr>
    </w:p>
    <w:p w14:paraId="2196D9EE" w14:textId="77777777" w:rsidR="00492ADB" w:rsidRPr="0065485D" w:rsidRDefault="002E6233" w:rsidP="00492ADB">
      <w:pPr>
        <w:spacing w:after="200" w:line="276" w:lineRule="auto"/>
        <w:jc w:val="both"/>
        <w:rPr>
          <w:rFonts w:ascii="Arial" w:hAnsi="Arial" w:cs="Arial"/>
        </w:rPr>
      </w:pPr>
      <w:r w:rsidRPr="0065485D">
        <w:rPr>
          <w:rFonts w:ascii="Arial" w:hAnsi="Arial" w:cs="Arial"/>
        </w:rPr>
        <w:t>I</w:t>
      </w:r>
      <w:r w:rsidR="00492ADB" w:rsidRPr="0065485D">
        <w:rPr>
          <w:rFonts w:ascii="Arial" w:hAnsi="Arial" w:cs="Arial"/>
        </w:rPr>
        <w:t xml:space="preserve"> can confirm that the information submitted is correct. </w:t>
      </w:r>
    </w:p>
    <w:p w14:paraId="33334ED0" w14:textId="77777777" w:rsidR="00492ADB" w:rsidRPr="0065485D" w:rsidRDefault="00492ADB" w:rsidP="0050267D">
      <w:pPr>
        <w:jc w:val="both"/>
        <w:rPr>
          <w:rFonts w:ascii="Arial" w:hAnsi="Arial" w:cs="Arial"/>
          <w:szCs w:val="22"/>
        </w:rPr>
      </w:pPr>
    </w:p>
    <w:p w14:paraId="526342C0" w14:textId="77777777" w:rsidR="00492ADB" w:rsidRDefault="002E6233" w:rsidP="002E6233">
      <w:pPr>
        <w:spacing w:after="200" w:line="276" w:lineRule="auto"/>
        <w:rPr>
          <w:rFonts w:ascii="Arial" w:hAnsi="Arial" w:cs="Arial"/>
          <w:szCs w:val="22"/>
        </w:rPr>
      </w:pPr>
      <w:r w:rsidRPr="0065485D">
        <w:rPr>
          <w:rFonts w:ascii="Arial" w:hAnsi="Arial" w:cs="Arial"/>
          <w:b/>
        </w:rPr>
        <w:t xml:space="preserve">Jon Armstrong </w:t>
      </w:r>
      <w:r w:rsidRPr="0065485D">
        <w:rPr>
          <w:rFonts w:ascii="Arial" w:hAnsi="Arial" w:cs="Arial"/>
          <w:b/>
        </w:rPr>
        <w:br/>
        <w:t>Group Human Resources and Statutory Compliance Director</w:t>
      </w:r>
    </w:p>
    <w:sectPr w:rsidR="00492ADB" w:rsidSect="008B63D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709" w:right="710" w:bottom="992" w:left="851" w:header="646" w:footer="6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D3B4A" w14:textId="77777777" w:rsidR="007E0048" w:rsidRDefault="007E0048">
      <w:r>
        <w:separator/>
      </w:r>
    </w:p>
  </w:endnote>
  <w:endnote w:type="continuationSeparator" w:id="0">
    <w:p w14:paraId="5D330DEF" w14:textId="77777777" w:rsidR="007E0048" w:rsidRDefault="007E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CC0D" w14:textId="47870BF6" w:rsidR="00F467A6" w:rsidRDefault="00F467A6" w:rsidP="00475505">
    <w:pPr>
      <w:pStyle w:val="Footer"/>
    </w:pPr>
    <w:r>
      <w:rPr>
        <w:rFonts w:ascii="Arial" w:hAnsi="Arial" w:cs="Arial"/>
        <w:sz w:val="18"/>
      </w:rPr>
      <w:t>Form No. HRE/FRM/</w:t>
    </w:r>
    <w:r>
      <w:rPr>
        <w:rFonts w:ascii="Arial" w:hAnsi="Arial" w:cs="Arial"/>
        <w:sz w:val="18"/>
      </w:rPr>
      <w:tab/>
    </w:r>
    <w:r>
      <w:rPr>
        <w:rFonts w:ascii="Arial" w:hAnsi="Arial" w:cs="Arial"/>
        <w:sz w:val="18"/>
      </w:rPr>
      <w:tab/>
    </w:r>
    <w:r w:rsidRPr="009D5999">
      <w:rPr>
        <w:rFonts w:ascii="Arial" w:hAnsi="Arial" w:cs="Arial"/>
        <w:sz w:val="18"/>
      </w:rPr>
      <w:t xml:space="preserve">Page </w:t>
    </w:r>
    <w:r w:rsidR="00241924" w:rsidRPr="009D5999">
      <w:rPr>
        <w:rFonts w:ascii="Arial" w:hAnsi="Arial" w:cs="Arial"/>
        <w:sz w:val="18"/>
      </w:rPr>
      <w:fldChar w:fldCharType="begin"/>
    </w:r>
    <w:r w:rsidRPr="009D5999">
      <w:rPr>
        <w:rFonts w:ascii="Arial" w:hAnsi="Arial" w:cs="Arial"/>
        <w:sz w:val="18"/>
      </w:rPr>
      <w:instrText xml:space="preserve"> PAGE </w:instrText>
    </w:r>
    <w:r w:rsidR="00241924" w:rsidRPr="009D5999">
      <w:rPr>
        <w:rFonts w:ascii="Arial" w:hAnsi="Arial" w:cs="Arial"/>
        <w:sz w:val="18"/>
      </w:rPr>
      <w:fldChar w:fldCharType="separate"/>
    </w:r>
    <w:r>
      <w:rPr>
        <w:rFonts w:ascii="Arial" w:hAnsi="Arial" w:cs="Arial"/>
        <w:noProof/>
        <w:sz w:val="18"/>
      </w:rPr>
      <w:t>2</w:t>
    </w:r>
    <w:r w:rsidR="00241924" w:rsidRPr="009D5999">
      <w:rPr>
        <w:rFonts w:ascii="Arial" w:hAnsi="Arial" w:cs="Arial"/>
        <w:sz w:val="18"/>
      </w:rPr>
      <w:fldChar w:fldCharType="end"/>
    </w:r>
    <w:r w:rsidRPr="009D5999">
      <w:rPr>
        <w:rFonts w:ascii="Arial" w:hAnsi="Arial" w:cs="Arial"/>
        <w:sz w:val="18"/>
      </w:rPr>
      <w:t xml:space="preserve"> of </w:t>
    </w:r>
    <w:r w:rsidR="00241924" w:rsidRPr="009D5999">
      <w:rPr>
        <w:rFonts w:ascii="Arial" w:hAnsi="Arial" w:cs="Arial"/>
        <w:sz w:val="18"/>
      </w:rPr>
      <w:fldChar w:fldCharType="begin"/>
    </w:r>
    <w:r w:rsidRPr="009D5999">
      <w:rPr>
        <w:rFonts w:ascii="Arial" w:hAnsi="Arial" w:cs="Arial"/>
        <w:sz w:val="18"/>
      </w:rPr>
      <w:instrText xml:space="preserve"> NUMPAGES </w:instrText>
    </w:r>
    <w:r w:rsidR="00241924" w:rsidRPr="009D5999">
      <w:rPr>
        <w:rFonts w:ascii="Arial" w:hAnsi="Arial" w:cs="Arial"/>
        <w:sz w:val="18"/>
      </w:rPr>
      <w:fldChar w:fldCharType="separate"/>
    </w:r>
    <w:r w:rsidR="002B7222">
      <w:rPr>
        <w:rFonts w:ascii="Arial" w:hAnsi="Arial" w:cs="Arial"/>
        <w:noProof/>
        <w:sz w:val="18"/>
      </w:rPr>
      <w:t>2</w:t>
    </w:r>
    <w:r w:rsidR="00241924" w:rsidRPr="009D5999">
      <w:rPr>
        <w:rFonts w:ascii="Arial" w:hAnsi="Arial" w:cs="Arial"/>
        <w:sz w:val="18"/>
      </w:rPr>
      <w:fldChar w:fldCharType="end"/>
    </w:r>
  </w:p>
  <w:p w14:paraId="4DF3C63E" w14:textId="77777777" w:rsidR="00F467A6" w:rsidRDefault="00F46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0404" w14:textId="77777777" w:rsidR="00F467A6" w:rsidRPr="00697E5D" w:rsidRDefault="00F467A6" w:rsidP="00697E5D">
    <w:pPr>
      <w:pStyle w:val="Footer"/>
    </w:pPr>
    <w:r w:rsidRPr="00967989">
      <w:rPr>
        <w:noProof/>
        <w:lang w:eastAsia="en-GB"/>
      </w:rPr>
      <w:drawing>
        <wp:inline distT="0" distB="0" distL="0" distR="0" wp14:anchorId="5C3739DB" wp14:editId="4DB37E85">
          <wp:extent cx="2352675" cy="38100"/>
          <wp:effectExtent l="0" t="0" r="9525" b="0"/>
          <wp:docPr id="21" name="Picture 4" descr="coloured swat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coloured swatches.jpg"/>
                  <pic:cNvPicPr>
                    <a:picLocks noChangeAspect="1"/>
                  </pic:cNvPicPr>
                </pic:nvPicPr>
                <pic:blipFill>
                  <a:blip r:embed="rId1" cstate="screen"/>
                  <a:srcRect/>
                  <a:stretch>
                    <a:fillRect/>
                  </a:stretch>
                </pic:blipFill>
                <pic:spPr bwMode="auto">
                  <a:xfrm>
                    <a:off x="0" y="0"/>
                    <a:ext cx="2352675" cy="38100"/>
                  </a:xfrm>
                  <a:prstGeom prst="rect">
                    <a:avLst/>
                  </a:prstGeom>
                  <a:noFill/>
                  <a:ln w="9525">
                    <a:noFill/>
                    <a:miter lim="800000"/>
                    <a:headEnd/>
                    <a:tailEnd/>
                  </a:ln>
                </pic:spPr>
              </pic:pic>
            </a:graphicData>
          </a:graphic>
        </wp:inline>
      </w:drawing>
    </w:r>
    <w: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168C4" w14:textId="77777777" w:rsidR="00F467A6" w:rsidRPr="00F75E3D" w:rsidRDefault="00F467A6" w:rsidP="00F75E3D">
    <w:pPr>
      <w:pStyle w:val="Footer"/>
    </w:pPr>
    <w:r w:rsidRPr="00967989">
      <w:rPr>
        <w:noProof/>
        <w:lang w:eastAsia="en-GB"/>
      </w:rPr>
      <w:drawing>
        <wp:inline distT="0" distB="0" distL="0" distR="0" wp14:anchorId="67E5BF2D" wp14:editId="73E41E2D">
          <wp:extent cx="2352675" cy="38100"/>
          <wp:effectExtent l="0" t="0" r="9525" b="0"/>
          <wp:docPr id="23" name="Picture 4" descr="coloured swat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coloured swatches.jpg"/>
                  <pic:cNvPicPr>
                    <a:picLocks noChangeAspect="1"/>
                  </pic:cNvPicPr>
                </pic:nvPicPr>
                <pic:blipFill>
                  <a:blip r:embed="rId1" cstate="screen"/>
                  <a:srcRect/>
                  <a:stretch>
                    <a:fillRect/>
                  </a:stretch>
                </pic:blipFill>
                <pic:spPr bwMode="auto">
                  <a:xfrm>
                    <a:off x="0" y="0"/>
                    <a:ext cx="2352675" cy="38100"/>
                  </a:xfrm>
                  <a:prstGeom prst="rect">
                    <a:avLst/>
                  </a:prstGeom>
                  <a:noFill/>
                  <a:ln w="9525">
                    <a:noFill/>
                    <a:miter lim="800000"/>
                    <a:headEnd/>
                    <a:tailEnd/>
                  </a:ln>
                </pic:spPr>
              </pic:pic>
            </a:graphicData>
          </a:graphic>
        </wp:inline>
      </w:drawing>
    </w:r>
    <w:r>
      <w:br/>
    </w:r>
    <w:r>
      <w:rPr>
        <w:rFonts w:ascii="Arial" w:hAnsi="Arial"/>
        <w:b/>
        <w:color w:val="808080" w:themeColor="background1" w:themeShade="80"/>
        <w:spacing w:val="-2"/>
        <w:sz w:val="16"/>
      </w:rPr>
      <w:t>Rev:  001 2016-02 RC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49AA3" w14:textId="77777777" w:rsidR="007E0048" w:rsidRDefault="007E0048">
      <w:r>
        <w:separator/>
      </w:r>
    </w:p>
  </w:footnote>
  <w:footnote w:type="continuationSeparator" w:id="0">
    <w:p w14:paraId="7E5869E6" w14:textId="77777777" w:rsidR="007E0048" w:rsidRDefault="007E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F467A6" w14:paraId="46F0FD2A" w14:textId="77777777">
      <w:trPr>
        <w:cantSplit/>
        <w:trHeight w:val="820"/>
      </w:trPr>
      <w:tc>
        <w:tcPr>
          <w:tcW w:w="2552" w:type="dxa"/>
          <w:tcBorders>
            <w:bottom w:val="single" w:sz="4" w:space="0" w:color="auto"/>
          </w:tcBorders>
          <w:vAlign w:val="center"/>
        </w:tcPr>
        <w:p w14:paraId="485C044C" w14:textId="77777777" w:rsidR="00F467A6" w:rsidRDefault="00F467A6" w:rsidP="000A1998">
          <w:pPr>
            <w:pStyle w:val="Header"/>
            <w:tabs>
              <w:tab w:val="left" w:pos="900"/>
              <w:tab w:val="left" w:pos="1170"/>
            </w:tabs>
            <w:jc w:val="center"/>
            <w:rPr>
              <w:rFonts w:ascii="Arial" w:hAnsi="Arial" w:cs="Arial"/>
            </w:rPr>
          </w:pPr>
          <w:r>
            <w:rPr>
              <w:noProof/>
              <w:lang w:eastAsia="en-GB"/>
            </w:rPr>
            <w:drawing>
              <wp:inline distT="0" distB="0" distL="0" distR="0" wp14:anchorId="5E946AC7" wp14:editId="7ED136E5">
                <wp:extent cx="1400175" cy="400050"/>
                <wp:effectExtent l="0" t="0" r="9525" b="0"/>
                <wp:docPr id="19" name="Picture 1" descr="BOL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00050"/>
                        </a:xfrm>
                        <a:prstGeom prst="rect">
                          <a:avLst/>
                        </a:prstGeom>
                        <a:noFill/>
                        <a:ln>
                          <a:noFill/>
                        </a:ln>
                      </pic:spPr>
                    </pic:pic>
                  </a:graphicData>
                </a:graphic>
              </wp:inline>
            </w:drawing>
          </w:r>
        </w:p>
      </w:tc>
      <w:tc>
        <w:tcPr>
          <w:tcW w:w="6804" w:type="dxa"/>
          <w:tcBorders>
            <w:bottom w:val="single" w:sz="4" w:space="0" w:color="auto"/>
          </w:tcBorders>
          <w:vAlign w:val="center"/>
        </w:tcPr>
        <w:p w14:paraId="0D1DAFE1" w14:textId="77777777" w:rsidR="00F467A6" w:rsidRDefault="00F467A6" w:rsidP="000A1998">
          <w:pPr>
            <w:pStyle w:val="Header"/>
            <w:tabs>
              <w:tab w:val="left" w:pos="900"/>
              <w:tab w:val="left" w:pos="1170"/>
            </w:tabs>
            <w:jc w:val="center"/>
            <w:rPr>
              <w:rFonts w:ascii="Arial" w:hAnsi="Arial" w:cs="Arial"/>
            </w:rPr>
          </w:pPr>
          <w:r>
            <w:rPr>
              <w:rFonts w:ascii="Arial" w:hAnsi="Arial" w:cs="Arial"/>
              <w:b/>
              <w:bCs/>
              <w:sz w:val="28"/>
            </w:rPr>
            <w:t>Personnel Information Update</w:t>
          </w:r>
        </w:p>
      </w:tc>
    </w:tr>
  </w:tbl>
  <w:p w14:paraId="262D1777" w14:textId="77777777" w:rsidR="00F467A6" w:rsidRDefault="00F46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7873"/>
    </w:tblGrid>
    <w:tr w:rsidR="00F467A6" w14:paraId="4FF2094F" w14:textId="77777777" w:rsidTr="00DB7795">
      <w:trPr>
        <w:cantSplit/>
        <w:trHeight w:val="880"/>
      </w:trPr>
      <w:tc>
        <w:tcPr>
          <w:tcW w:w="1192" w:type="pct"/>
          <w:tcBorders>
            <w:bottom w:val="single" w:sz="4" w:space="0" w:color="auto"/>
          </w:tcBorders>
          <w:vAlign w:val="center"/>
        </w:tcPr>
        <w:p w14:paraId="6CA5C7D5" w14:textId="77777777" w:rsidR="00F467A6" w:rsidRDefault="00F467A6" w:rsidP="00DB7795">
          <w:pPr>
            <w:pStyle w:val="Header"/>
            <w:tabs>
              <w:tab w:val="left" w:pos="900"/>
              <w:tab w:val="left" w:pos="1170"/>
            </w:tabs>
            <w:jc w:val="cente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3B33F0E5" wp14:editId="52AD44DA">
                <wp:simplePos x="0" y="0"/>
                <wp:positionH relativeFrom="margin">
                  <wp:posOffset>125730</wp:posOffset>
                </wp:positionH>
                <wp:positionV relativeFrom="paragraph">
                  <wp:posOffset>-52070</wp:posOffset>
                </wp:positionV>
                <wp:extent cx="1085850" cy="381000"/>
                <wp:effectExtent l="19050" t="0" r="0" b="0"/>
                <wp:wrapNone/>
                <wp:docPr id="2" name="Picture 2" descr="C:\Users\dmachin\AppData\Local\Microsoft\Windows\Temporary Internet Files\Content.Outlook\Z7H81CIJ\PD Po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chin\AppData\Local\Microsoft\Windows\Temporary Internet Files\Content.Outlook\Z7H81CIJ\PD Port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381000"/>
                        </a:xfrm>
                        <a:prstGeom prst="rect">
                          <a:avLst/>
                        </a:prstGeom>
                        <a:noFill/>
                        <a:ln>
                          <a:noFill/>
                        </a:ln>
                      </pic:spPr>
                    </pic:pic>
                  </a:graphicData>
                </a:graphic>
              </wp:anchor>
            </w:drawing>
          </w:r>
        </w:p>
      </w:tc>
      <w:tc>
        <w:tcPr>
          <w:tcW w:w="3808" w:type="pct"/>
          <w:tcBorders>
            <w:bottom w:val="single" w:sz="4" w:space="0" w:color="auto"/>
          </w:tcBorders>
          <w:vAlign w:val="center"/>
        </w:tcPr>
        <w:p w14:paraId="2EF03370" w14:textId="4A349A21" w:rsidR="00F467A6" w:rsidRPr="006076B1" w:rsidRDefault="00F467A6" w:rsidP="00C77B23">
          <w:pPr>
            <w:pStyle w:val="Header"/>
            <w:tabs>
              <w:tab w:val="left" w:pos="900"/>
              <w:tab w:val="left" w:pos="1170"/>
            </w:tabs>
            <w:jc w:val="center"/>
            <w:rPr>
              <w:rFonts w:ascii="Arial Narrow" w:hAnsi="Arial Narrow" w:cs="Arial"/>
              <w:sz w:val="28"/>
              <w:szCs w:val="28"/>
            </w:rPr>
          </w:pPr>
          <w:r>
            <w:rPr>
              <w:rFonts w:ascii="Arial Narrow" w:hAnsi="Arial Narrow" w:cs="Arial"/>
              <w:b/>
              <w:bCs/>
              <w:sz w:val="28"/>
            </w:rPr>
            <w:t>GENDER PAY GAP REPORT</w:t>
          </w:r>
          <w:r w:rsidR="00223590">
            <w:rPr>
              <w:rFonts w:ascii="Arial Narrow" w:hAnsi="Arial Narrow" w:cs="Arial"/>
              <w:b/>
              <w:bCs/>
              <w:sz w:val="28"/>
            </w:rPr>
            <w:t xml:space="preserve"> </w:t>
          </w:r>
          <w:r>
            <w:rPr>
              <w:rFonts w:ascii="Arial Narrow" w:hAnsi="Arial Narrow" w:cs="Arial"/>
              <w:b/>
              <w:bCs/>
              <w:sz w:val="28"/>
            </w:rPr>
            <w:t xml:space="preserve">– </w:t>
          </w:r>
          <w:r w:rsidR="00C071A1">
            <w:rPr>
              <w:rFonts w:ascii="Arial Narrow" w:hAnsi="Arial Narrow" w:cs="Arial"/>
              <w:b/>
              <w:bCs/>
              <w:caps/>
              <w:sz w:val="28"/>
            </w:rPr>
            <w:t xml:space="preserve">APRIL </w:t>
          </w:r>
          <w:r w:rsidR="00DD0FF8">
            <w:rPr>
              <w:rFonts w:ascii="Arial Narrow" w:hAnsi="Arial Narrow" w:cs="Arial"/>
              <w:b/>
              <w:bCs/>
              <w:caps/>
              <w:sz w:val="28"/>
            </w:rPr>
            <w:t>20</w:t>
          </w:r>
          <w:r w:rsidR="004773B4">
            <w:rPr>
              <w:rFonts w:ascii="Arial Narrow" w:hAnsi="Arial Narrow" w:cs="Arial"/>
              <w:b/>
              <w:bCs/>
              <w:caps/>
              <w:sz w:val="28"/>
            </w:rPr>
            <w:t>2</w:t>
          </w:r>
          <w:r w:rsidR="00C77B23">
            <w:rPr>
              <w:rFonts w:ascii="Arial Narrow" w:hAnsi="Arial Narrow" w:cs="Arial"/>
              <w:b/>
              <w:bCs/>
              <w:caps/>
              <w:sz w:val="28"/>
            </w:rPr>
            <w:t>0</w:t>
          </w:r>
          <w:r w:rsidR="00AE39E0" w:rsidRPr="00AE39E0">
            <w:rPr>
              <w:rFonts w:ascii="Arial Narrow" w:hAnsi="Arial Narrow" w:cs="Arial"/>
              <w:b/>
              <w:bCs/>
              <w:caps/>
              <w:sz w:val="28"/>
            </w:rPr>
            <w:t xml:space="preserve"> Reporting</w:t>
          </w:r>
        </w:p>
      </w:tc>
    </w:tr>
  </w:tbl>
  <w:p w14:paraId="135BE954" w14:textId="77777777" w:rsidR="00F467A6" w:rsidRDefault="00F46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7873"/>
    </w:tblGrid>
    <w:tr w:rsidR="00F467A6" w14:paraId="554CD770" w14:textId="77777777" w:rsidTr="008B63D2">
      <w:trPr>
        <w:cantSplit/>
        <w:trHeight w:val="880"/>
      </w:trPr>
      <w:tc>
        <w:tcPr>
          <w:tcW w:w="1192" w:type="pct"/>
          <w:tcBorders>
            <w:bottom w:val="single" w:sz="4" w:space="0" w:color="auto"/>
          </w:tcBorders>
          <w:vAlign w:val="center"/>
        </w:tcPr>
        <w:p w14:paraId="6545CD42" w14:textId="77777777" w:rsidR="00F467A6" w:rsidRDefault="00F467A6" w:rsidP="00DB7795">
          <w:pPr>
            <w:pStyle w:val="Header"/>
            <w:tabs>
              <w:tab w:val="left" w:pos="900"/>
              <w:tab w:val="left" w:pos="1170"/>
            </w:tabs>
            <w:jc w:val="center"/>
            <w:rPr>
              <w:rFonts w:ascii="Arial" w:hAnsi="Arial" w:cs="Arial"/>
            </w:rPr>
          </w:pPr>
          <w:r w:rsidRPr="00923AC5">
            <w:rPr>
              <w:rFonts w:ascii="Arial" w:hAnsi="Arial" w:cs="Arial"/>
              <w:noProof/>
              <w:lang w:eastAsia="en-GB"/>
            </w:rPr>
            <w:drawing>
              <wp:inline distT="0" distB="0" distL="0" distR="0" wp14:anchorId="7A0986BC" wp14:editId="5A82D301">
                <wp:extent cx="971550" cy="51492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Ports Brookfield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514922"/>
                        </a:xfrm>
                        <a:prstGeom prst="rect">
                          <a:avLst/>
                        </a:prstGeom>
                      </pic:spPr>
                    </pic:pic>
                  </a:graphicData>
                </a:graphic>
              </wp:inline>
            </w:drawing>
          </w:r>
        </w:p>
      </w:tc>
      <w:tc>
        <w:tcPr>
          <w:tcW w:w="3808" w:type="pct"/>
          <w:tcBorders>
            <w:bottom w:val="single" w:sz="4" w:space="0" w:color="auto"/>
          </w:tcBorders>
          <w:vAlign w:val="center"/>
        </w:tcPr>
        <w:p w14:paraId="41E04F3E" w14:textId="77777777" w:rsidR="00F467A6" w:rsidRPr="006076B1" w:rsidRDefault="00F467A6" w:rsidP="00DB7795">
          <w:pPr>
            <w:pStyle w:val="Header"/>
            <w:tabs>
              <w:tab w:val="left" w:pos="900"/>
              <w:tab w:val="left" w:pos="1170"/>
            </w:tabs>
            <w:jc w:val="center"/>
            <w:rPr>
              <w:rFonts w:ascii="Arial Narrow" w:hAnsi="Arial Narrow" w:cs="Arial"/>
              <w:sz w:val="28"/>
              <w:szCs w:val="28"/>
            </w:rPr>
          </w:pPr>
          <w:r>
            <w:rPr>
              <w:rFonts w:ascii="Arial Narrow" w:hAnsi="Arial Narrow" w:cs="Arial"/>
              <w:b/>
              <w:bCs/>
              <w:sz w:val="28"/>
            </w:rPr>
            <w:t>NAME OF POLICY</w:t>
          </w:r>
        </w:p>
      </w:tc>
    </w:tr>
  </w:tbl>
  <w:p w14:paraId="7FF1BC53" w14:textId="77777777" w:rsidR="00F467A6" w:rsidRDefault="00F4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257F"/>
    <w:multiLevelType w:val="hybridMultilevel"/>
    <w:tmpl w:val="1E900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52E29"/>
    <w:multiLevelType w:val="hybridMultilevel"/>
    <w:tmpl w:val="4148F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E418CF"/>
    <w:multiLevelType w:val="hybridMultilevel"/>
    <w:tmpl w:val="F7B454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EC58A3"/>
    <w:multiLevelType w:val="hybridMultilevel"/>
    <w:tmpl w:val="5770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B51F0"/>
    <w:multiLevelType w:val="hybridMultilevel"/>
    <w:tmpl w:val="22F43E34"/>
    <w:lvl w:ilvl="0" w:tplc="58FAECD0">
      <w:start w:val="1"/>
      <w:numFmt w:val="bullet"/>
      <w:lvlText w:val=""/>
      <w:lvlJc w:val="left"/>
      <w:pPr>
        <w:tabs>
          <w:tab w:val="num" w:pos="1526"/>
        </w:tabs>
        <w:ind w:left="1526" w:hanging="26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13B2E"/>
    <w:multiLevelType w:val="hybridMultilevel"/>
    <w:tmpl w:val="7DAEFD66"/>
    <w:lvl w:ilvl="0" w:tplc="EF2E538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36"/>
    <w:rsid w:val="00005336"/>
    <w:rsid w:val="000062DD"/>
    <w:rsid w:val="000073E5"/>
    <w:rsid w:val="00011A12"/>
    <w:rsid w:val="00012F1F"/>
    <w:rsid w:val="00017524"/>
    <w:rsid w:val="00025418"/>
    <w:rsid w:val="00027740"/>
    <w:rsid w:val="00031F59"/>
    <w:rsid w:val="000352B4"/>
    <w:rsid w:val="0003747F"/>
    <w:rsid w:val="000479EC"/>
    <w:rsid w:val="00053E4E"/>
    <w:rsid w:val="00065B34"/>
    <w:rsid w:val="00070994"/>
    <w:rsid w:val="00075462"/>
    <w:rsid w:val="00080F64"/>
    <w:rsid w:val="00084562"/>
    <w:rsid w:val="00090A1B"/>
    <w:rsid w:val="00093EAB"/>
    <w:rsid w:val="00097D42"/>
    <w:rsid w:val="000A1998"/>
    <w:rsid w:val="000A31CD"/>
    <w:rsid w:val="000B7617"/>
    <w:rsid w:val="000C4128"/>
    <w:rsid w:val="000C4F7D"/>
    <w:rsid w:val="000D0949"/>
    <w:rsid w:val="000D098F"/>
    <w:rsid w:val="000D27F3"/>
    <w:rsid w:val="000D3D19"/>
    <w:rsid w:val="000D3EA6"/>
    <w:rsid w:val="000D6EA0"/>
    <w:rsid w:val="000D75D2"/>
    <w:rsid w:val="000E6064"/>
    <w:rsid w:val="000E6097"/>
    <w:rsid w:val="000F125C"/>
    <w:rsid w:val="000F7A52"/>
    <w:rsid w:val="0010149A"/>
    <w:rsid w:val="001148FF"/>
    <w:rsid w:val="00122FC6"/>
    <w:rsid w:val="0015219D"/>
    <w:rsid w:val="0016515C"/>
    <w:rsid w:val="001750A5"/>
    <w:rsid w:val="0017762D"/>
    <w:rsid w:val="001864A6"/>
    <w:rsid w:val="00196A45"/>
    <w:rsid w:val="001A07C5"/>
    <w:rsid w:val="001A2454"/>
    <w:rsid w:val="001A3FEB"/>
    <w:rsid w:val="001A6FAE"/>
    <w:rsid w:val="001A72BF"/>
    <w:rsid w:val="001B2844"/>
    <w:rsid w:val="001C5176"/>
    <w:rsid w:val="001C551B"/>
    <w:rsid w:val="001C665C"/>
    <w:rsid w:val="001D1D0C"/>
    <w:rsid w:val="001D5D4E"/>
    <w:rsid w:val="001E4903"/>
    <w:rsid w:val="001E5CA9"/>
    <w:rsid w:val="001F3D30"/>
    <w:rsid w:val="001F75BC"/>
    <w:rsid w:val="00207EFC"/>
    <w:rsid w:val="00214A5F"/>
    <w:rsid w:val="00214E9F"/>
    <w:rsid w:val="00223590"/>
    <w:rsid w:val="00230104"/>
    <w:rsid w:val="002350E6"/>
    <w:rsid w:val="00241924"/>
    <w:rsid w:val="002447C1"/>
    <w:rsid w:val="00245F6D"/>
    <w:rsid w:val="00247B17"/>
    <w:rsid w:val="00253A58"/>
    <w:rsid w:val="0026622D"/>
    <w:rsid w:val="00270DEA"/>
    <w:rsid w:val="00273921"/>
    <w:rsid w:val="002868F7"/>
    <w:rsid w:val="002978AB"/>
    <w:rsid w:val="002A51D1"/>
    <w:rsid w:val="002B4210"/>
    <w:rsid w:val="002B7222"/>
    <w:rsid w:val="002C1018"/>
    <w:rsid w:val="002C59C3"/>
    <w:rsid w:val="002D2CA0"/>
    <w:rsid w:val="002D5BA7"/>
    <w:rsid w:val="002E2C88"/>
    <w:rsid w:val="002E6233"/>
    <w:rsid w:val="002E7559"/>
    <w:rsid w:val="002F3BBD"/>
    <w:rsid w:val="002F40D7"/>
    <w:rsid w:val="002F467F"/>
    <w:rsid w:val="00304086"/>
    <w:rsid w:val="00327838"/>
    <w:rsid w:val="0035231D"/>
    <w:rsid w:val="00353340"/>
    <w:rsid w:val="003657AA"/>
    <w:rsid w:val="003704AF"/>
    <w:rsid w:val="00372D2A"/>
    <w:rsid w:val="00390544"/>
    <w:rsid w:val="0039388F"/>
    <w:rsid w:val="0039552F"/>
    <w:rsid w:val="003A3991"/>
    <w:rsid w:val="003A4459"/>
    <w:rsid w:val="003A5DF0"/>
    <w:rsid w:val="003B79B6"/>
    <w:rsid w:val="003C2143"/>
    <w:rsid w:val="003D5CA6"/>
    <w:rsid w:val="0041313A"/>
    <w:rsid w:val="00413B89"/>
    <w:rsid w:val="00431567"/>
    <w:rsid w:val="00435CCB"/>
    <w:rsid w:val="00445B0B"/>
    <w:rsid w:val="00446997"/>
    <w:rsid w:val="00454237"/>
    <w:rsid w:val="00462BB3"/>
    <w:rsid w:val="00475505"/>
    <w:rsid w:val="004773B4"/>
    <w:rsid w:val="004853AB"/>
    <w:rsid w:val="00485E96"/>
    <w:rsid w:val="00487969"/>
    <w:rsid w:val="00492ADB"/>
    <w:rsid w:val="004A4AA2"/>
    <w:rsid w:val="004A588E"/>
    <w:rsid w:val="004B2DAE"/>
    <w:rsid w:val="004B5875"/>
    <w:rsid w:val="004C1B38"/>
    <w:rsid w:val="004D182C"/>
    <w:rsid w:val="0050267D"/>
    <w:rsid w:val="00503F4D"/>
    <w:rsid w:val="00512BDF"/>
    <w:rsid w:val="00516F39"/>
    <w:rsid w:val="005259C2"/>
    <w:rsid w:val="0053214C"/>
    <w:rsid w:val="005338D4"/>
    <w:rsid w:val="00545709"/>
    <w:rsid w:val="00550EDE"/>
    <w:rsid w:val="0055488B"/>
    <w:rsid w:val="00555E3D"/>
    <w:rsid w:val="00555EE2"/>
    <w:rsid w:val="005568B0"/>
    <w:rsid w:val="00567308"/>
    <w:rsid w:val="00572FEE"/>
    <w:rsid w:val="00573E68"/>
    <w:rsid w:val="00580624"/>
    <w:rsid w:val="005820D3"/>
    <w:rsid w:val="005829C3"/>
    <w:rsid w:val="005907FB"/>
    <w:rsid w:val="00591BA0"/>
    <w:rsid w:val="005A334C"/>
    <w:rsid w:val="005A76E5"/>
    <w:rsid w:val="005A7ABA"/>
    <w:rsid w:val="005B04B8"/>
    <w:rsid w:val="005B20CC"/>
    <w:rsid w:val="005B24E3"/>
    <w:rsid w:val="005B7345"/>
    <w:rsid w:val="005D2293"/>
    <w:rsid w:val="005D4761"/>
    <w:rsid w:val="00613F71"/>
    <w:rsid w:val="006162AE"/>
    <w:rsid w:val="00623462"/>
    <w:rsid w:val="00626414"/>
    <w:rsid w:val="006507DE"/>
    <w:rsid w:val="00652A8E"/>
    <w:rsid w:val="0065485D"/>
    <w:rsid w:val="00655246"/>
    <w:rsid w:val="00671A3D"/>
    <w:rsid w:val="00672841"/>
    <w:rsid w:val="006730B1"/>
    <w:rsid w:val="0068515B"/>
    <w:rsid w:val="00690BB5"/>
    <w:rsid w:val="00696E69"/>
    <w:rsid w:val="00697E5D"/>
    <w:rsid w:val="006A156B"/>
    <w:rsid w:val="006A2E24"/>
    <w:rsid w:val="006B3B6C"/>
    <w:rsid w:val="006D239A"/>
    <w:rsid w:val="006D55F4"/>
    <w:rsid w:val="006E3CF9"/>
    <w:rsid w:val="006E4F8C"/>
    <w:rsid w:val="006F000C"/>
    <w:rsid w:val="006F1DB7"/>
    <w:rsid w:val="0070476A"/>
    <w:rsid w:val="007114E6"/>
    <w:rsid w:val="00717A7D"/>
    <w:rsid w:val="00727268"/>
    <w:rsid w:val="00727DF6"/>
    <w:rsid w:val="00734B9D"/>
    <w:rsid w:val="00736465"/>
    <w:rsid w:val="00737EC6"/>
    <w:rsid w:val="007442E5"/>
    <w:rsid w:val="00750C12"/>
    <w:rsid w:val="0075406F"/>
    <w:rsid w:val="0076210C"/>
    <w:rsid w:val="00765B6E"/>
    <w:rsid w:val="00767321"/>
    <w:rsid w:val="00772BE8"/>
    <w:rsid w:val="00773284"/>
    <w:rsid w:val="0079146E"/>
    <w:rsid w:val="00791CFF"/>
    <w:rsid w:val="0079576E"/>
    <w:rsid w:val="00797A8C"/>
    <w:rsid w:val="007B2198"/>
    <w:rsid w:val="007C06DF"/>
    <w:rsid w:val="007C2163"/>
    <w:rsid w:val="007E0048"/>
    <w:rsid w:val="00800539"/>
    <w:rsid w:val="00807924"/>
    <w:rsid w:val="00813B5F"/>
    <w:rsid w:val="00816329"/>
    <w:rsid w:val="0082779E"/>
    <w:rsid w:val="00835232"/>
    <w:rsid w:val="00841D5C"/>
    <w:rsid w:val="00845335"/>
    <w:rsid w:val="008636B1"/>
    <w:rsid w:val="00866205"/>
    <w:rsid w:val="008728CD"/>
    <w:rsid w:val="008736DE"/>
    <w:rsid w:val="00877E8B"/>
    <w:rsid w:val="008A0E72"/>
    <w:rsid w:val="008B63D2"/>
    <w:rsid w:val="008C3362"/>
    <w:rsid w:val="008C3C73"/>
    <w:rsid w:val="008C4AC3"/>
    <w:rsid w:val="008D0CC7"/>
    <w:rsid w:val="008D20E6"/>
    <w:rsid w:val="008D3F51"/>
    <w:rsid w:val="008D4A7D"/>
    <w:rsid w:val="008D5965"/>
    <w:rsid w:val="008E0E24"/>
    <w:rsid w:val="008E16D6"/>
    <w:rsid w:val="008E31E2"/>
    <w:rsid w:val="008E4352"/>
    <w:rsid w:val="00903BED"/>
    <w:rsid w:val="00907EB7"/>
    <w:rsid w:val="00920BF9"/>
    <w:rsid w:val="00923AC5"/>
    <w:rsid w:val="00924B8B"/>
    <w:rsid w:val="00924E74"/>
    <w:rsid w:val="00933C98"/>
    <w:rsid w:val="009355DE"/>
    <w:rsid w:val="009519ED"/>
    <w:rsid w:val="00952377"/>
    <w:rsid w:val="0095494E"/>
    <w:rsid w:val="009605CD"/>
    <w:rsid w:val="00964260"/>
    <w:rsid w:val="009666B1"/>
    <w:rsid w:val="009675AD"/>
    <w:rsid w:val="0096799E"/>
    <w:rsid w:val="00972A99"/>
    <w:rsid w:val="00975A61"/>
    <w:rsid w:val="00975E56"/>
    <w:rsid w:val="009867F0"/>
    <w:rsid w:val="0099187E"/>
    <w:rsid w:val="00992C39"/>
    <w:rsid w:val="00995C49"/>
    <w:rsid w:val="009A2F4D"/>
    <w:rsid w:val="009A65E5"/>
    <w:rsid w:val="009A6F4E"/>
    <w:rsid w:val="009B02B2"/>
    <w:rsid w:val="009B3721"/>
    <w:rsid w:val="009B3A72"/>
    <w:rsid w:val="009B630D"/>
    <w:rsid w:val="009B6D2A"/>
    <w:rsid w:val="009C23B5"/>
    <w:rsid w:val="009C41C2"/>
    <w:rsid w:val="009C5338"/>
    <w:rsid w:val="009C5A6D"/>
    <w:rsid w:val="009C5CBE"/>
    <w:rsid w:val="009C5F43"/>
    <w:rsid w:val="009C6757"/>
    <w:rsid w:val="009D5999"/>
    <w:rsid w:val="009D65D6"/>
    <w:rsid w:val="009E6778"/>
    <w:rsid w:val="009F0A74"/>
    <w:rsid w:val="009F1D1E"/>
    <w:rsid w:val="00A06FF3"/>
    <w:rsid w:val="00A13541"/>
    <w:rsid w:val="00A24110"/>
    <w:rsid w:val="00A41576"/>
    <w:rsid w:val="00A4339D"/>
    <w:rsid w:val="00A44E76"/>
    <w:rsid w:val="00A53C0B"/>
    <w:rsid w:val="00A75680"/>
    <w:rsid w:val="00A82D9E"/>
    <w:rsid w:val="00A84239"/>
    <w:rsid w:val="00A863FB"/>
    <w:rsid w:val="00A9373A"/>
    <w:rsid w:val="00AB2A0F"/>
    <w:rsid w:val="00AB2F42"/>
    <w:rsid w:val="00AC0283"/>
    <w:rsid w:val="00AC441E"/>
    <w:rsid w:val="00AD4A6E"/>
    <w:rsid w:val="00AE186D"/>
    <w:rsid w:val="00AE1AD0"/>
    <w:rsid w:val="00AE39E0"/>
    <w:rsid w:val="00AE45F3"/>
    <w:rsid w:val="00AF15F7"/>
    <w:rsid w:val="00B01A70"/>
    <w:rsid w:val="00B02EDD"/>
    <w:rsid w:val="00B05946"/>
    <w:rsid w:val="00B05947"/>
    <w:rsid w:val="00B10ADD"/>
    <w:rsid w:val="00B25DFF"/>
    <w:rsid w:val="00B36E2C"/>
    <w:rsid w:val="00B42807"/>
    <w:rsid w:val="00B429C5"/>
    <w:rsid w:val="00B470A3"/>
    <w:rsid w:val="00B51D6D"/>
    <w:rsid w:val="00B54C92"/>
    <w:rsid w:val="00B657E6"/>
    <w:rsid w:val="00B6671A"/>
    <w:rsid w:val="00B73DFF"/>
    <w:rsid w:val="00B76979"/>
    <w:rsid w:val="00B8543D"/>
    <w:rsid w:val="00B8600B"/>
    <w:rsid w:val="00B87C8F"/>
    <w:rsid w:val="00B9460B"/>
    <w:rsid w:val="00BA060A"/>
    <w:rsid w:val="00BA2D93"/>
    <w:rsid w:val="00BB7236"/>
    <w:rsid w:val="00BB7243"/>
    <w:rsid w:val="00BC19E5"/>
    <w:rsid w:val="00BC4406"/>
    <w:rsid w:val="00BD6530"/>
    <w:rsid w:val="00BE2326"/>
    <w:rsid w:val="00BE4CD7"/>
    <w:rsid w:val="00BE6C2D"/>
    <w:rsid w:val="00BF4FCC"/>
    <w:rsid w:val="00C071A1"/>
    <w:rsid w:val="00C1180A"/>
    <w:rsid w:val="00C13650"/>
    <w:rsid w:val="00C13D5B"/>
    <w:rsid w:val="00C1546A"/>
    <w:rsid w:val="00C1669F"/>
    <w:rsid w:val="00C20EAD"/>
    <w:rsid w:val="00C22184"/>
    <w:rsid w:val="00C2286C"/>
    <w:rsid w:val="00C23ECE"/>
    <w:rsid w:val="00C34610"/>
    <w:rsid w:val="00C40F0E"/>
    <w:rsid w:val="00C42BBB"/>
    <w:rsid w:val="00C76C95"/>
    <w:rsid w:val="00C77B23"/>
    <w:rsid w:val="00C919A7"/>
    <w:rsid w:val="00C93B5A"/>
    <w:rsid w:val="00CA365B"/>
    <w:rsid w:val="00CA664B"/>
    <w:rsid w:val="00CA7378"/>
    <w:rsid w:val="00CB2856"/>
    <w:rsid w:val="00CB2DE3"/>
    <w:rsid w:val="00CB3F22"/>
    <w:rsid w:val="00CC11C1"/>
    <w:rsid w:val="00CC182D"/>
    <w:rsid w:val="00CF3239"/>
    <w:rsid w:val="00D06BF4"/>
    <w:rsid w:val="00D23735"/>
    <w:rsid w:val="00D342F3"/>
    <w:rsid w:val="00D34506"/>
    <w:rsid w:val="00D50407"/>
    <w:rsid w:val="00D5101B"/>
    <w:rsid w:val="00D662BB"/>
    <w:rsid w:val="00D7449A"/>
    <w:rsid w:val="00D91CF8"/>
    <w:rsid w:val="00D93A51"/>
    <w:rsid w:val="00D93E9C"/>
    <w:rsid w:val="00D97C09"/>
    <w:rsid w:val="00DA4515"/>
    <w:rsid w:val="00DA5669"/>
    <w:rsid w:val="00DB7795"/>
    <w:rsid w:val="00DC1CD2"/>
    <w:rsid w:val="00DC3D38"/>
    <w:rsid w:val="00DC6A54"/>
    <w:rsid w:val="00DC7B22"/>
    <w:rsid w:val="00DD0F82"/>
    <w:rsid w:val="00DD0FF8"/>
    <w:rsid w:val="00DD5147"/>
    <w:rsid w:val="00DD6AE4"/>
    <w:rsid w:val="00DE0EE1"/>
    <w:rsid w:val="00DE18F8"/>
    <w:rsid w:val="00E00CEF"/>
    <w:rsid w:val="00E02EA4"/>
    <w:rsid w:val="00E03BA5"/>
    <w:rsid w:val="00E115C9"/>
    <w:rsid w:val="00E129E3"/>
    <w:rsid w:val="00E20A0F"/>
    <w:rsid w:val="00E217D3"/>
    <w:rsid w:val="00E2200D"/>
    <w:rsid w:val="00E23AC1"/>
    <w:rsid w:val="00E27487"/>
    <w:rsid w:val="00E36584"/>
    <w:rsid w:val="00E43229"/>
    <w:rsid w:val="00E56D4E"/>
    <w:rsid w:val="00E5708F"/>
    <w:rsid w:val="00E653AD"/>
    <w:rsid w:val="00E71DB2"/>
    <w:rsid w:val="00E7749B"/>
    <w:rsid w:val="00E81A5D"/>
    <w:rsid w:val="00E85431"/>
    <w:rsid w:val="00E91F95"/>
    <w:rsid w:val="00E9606D"/>
    <w:rsid w:val="00EA3CE4"/>
    <w:rsid w:val="00EA421B"/>
    <w:rsid w:val="00EA4289"/>
    <w:rsid w:val="00EA7386"/>
    <w:rsid w:val="00EB1671"/>
    <w:rsid w:val="00ED7E25"/>
    <w:rsid w:val="00EE13E1"/>
    <w:rsid w:val="00EF119F"/>
    <w:rsid w:val="00EF3D5C"/>
    <w:rsid w:val="00EF6B76"/>
    <w:rsid w:val="00F02883"/>
    <w:rsid w:val="00F15EB0"/>
    <w:rsid w:val="00F17659"/>
    <w:rsid w:val="00F20AED"/>
    <w:rsid w:val="00F21A99"/>
    <w:rsid w:val="00F26085"/>
    <w:rsid w:val="00F31825"/>
    <w:rsid w:val="00F3247B"/>
    <w:rsid w:val="00F33ECC"/>
    <w:rsid w:val="00F37671"/>
    <w:rsid w:val="00F37E5E"/>
    <w:rsid w:val="00F467A6"/>
    <w:rsid w:val="00F470DC"/>
    <w:rsid w:val="00F6107F"/>
    <w:rsid w:val="00F63660"/>
    <w:rsid w:val="00F659E6"/>
    <w:rsid w:val="00F71804"/>
    <w:rsid w:val="00F75B37"/>
    <w:rsid w:val="00F75E3D"/>
    <w:rsid w:val="00F764E6"/>
    <w:rsid w:val="00F777FB"/>
    <w:rsid w:val="00F836DA"/>
    <w:rsid w:val="00F91895"/>
    <w:rsid w:val="00F970C6"/>
    <w:rsid w:val="00FA039E"/>
    <w:rsid w:val="00FA06EA"/>
    <w:rsid w:val="00FB0E1D"/>
    <w:rsid w:val="00FB5658"/>
    <w:rsid w:val="00FC002A"/>
    <w:rsid w:val="00FC0A0D"/>
    <w:rsid w:val="00FC0A5E"/>
    <w:rsid w:val="00FD0A0C"/>
    <w:rsid w:val="00FD0BF5"/>
    <w:rsid w:val="00FD61A5"/>
    <w:rsid w:val="00FD7CA9"/>
    <w:rsid w:val="00FD7E8A"/>
    <w:rsid w:val="00FE36C8"/>
    <w:rsid w:val="00FE431B"/>
    <w:rsid w:val="00FE6535"/>
    <w:rsid w:val="00FF18FE"/>
    <w:rsid w:val="00FF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8A6094"/>
  <w15:docId w15:val="{A17470ED-BBA9-4803-B399-439CB418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8B"/>
    <w:rPr>
      <w:sz w:val="22"/>
      <w:lang w:eastAsia="en-US"/>
    </w:rPr>
  </w:style>
  <w:style w:type="paragraph" w:styleId="Heading1">
    <w:name w:val="heading 1"/>
    <w:basedOn w:val="Normal"/>
    <w:next w:val="Normal"/>
    <w:qFormat/>
    <w:rsid w:val="00B8543D"/>
    <w:pPr>
      <w:keepNext/>
      <w:pBdr>
        <w:bottom w:val="single" w:sz="6" w:space="1" w:color="auto"/>
      </w:pBdr>
      <w:tabs>
        <w:tab w:val="left" w:pos="4820"/>
      </w:tabs>
      <w:jc w:val="center"/>
      <w:outlineLvl w:val="0"/>
    </w:pPr>
    <w:rPr>
      <w:b/>
      <w:bCs/>
      <w:sz w:val="20"/>
    </w:rPr>
  </w:style>
  <w:style w:type="paragraph" w:styleId="Heading2">
    <w:name w:val="heading 2"/>
    <w:basedOn w:val="Normal"/>
    <w:next w:val="Normal"/>
    <w:qFormat/>
    <w:rsid w:val="00B8543D"/>
    <w:pPr>
      <w:keepNext/>
      <w:tabs>
        <w:tab w:val="left" w:pos="4820"/>
      </w:tabs>
      <w:outlineLvl w:val="1"/>
    </w:pPr>
    <w:rPr>
      <w:b/>
      <w:bCs/>
      <w:sz w:val="20"/>
    </w:rPr>
  </w:style>
  <w:style w:type="paragraph" w:styleId="Heading3">
    <w:name w:val="heading 3"/>
    <w:basedOn w:val="Normal"/>
    <w:next w:val="Normal"/>
    <w:qFormat/>
    <w:rsid w:val="009B02B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543D"/>
    <w:pPr>
      <w:tabs>
        <w:tab w:val="center" w:pos="4320"/>
        <w:tab w:val="right" w:pos="8640"/>
      </w:tabs>
    </w:pPr>
  </w:style>
  <w:style w:type="paragraph" w:styleId="Footer">
    <w:name w:val="footer"/>
    <w:basedOn w:val="Normal"/>
    <w:link w:val="FooterChar"/>
    <w:uiPriority w:val="99"/>
    <w:rsid w:val="00B8543D"/>
    <w:pPr>
      <w:tabs>
        <w:tab w:val="center" w:pos="4320"/>
        <w:tab w:val="right" w:pos="8640"/>
      </w:tabs>
    </w:pPr>
  </w:style>
  <w:style w:type="paragraph" w:styleId="BalloonText">
    <w:name w:val="Balloon Text"/>
    <w:basedOn w:val="Normal"/>
    <w:semiHidden/>
    <w:rsid w:val="00CC11C1"/>
    <w:rPr>
      <w:rFonts w:ascii="Tahoma" w:hAnsi="Tahoma" w:cs="Tahoma"/>
      <w:sz w:val="16"/>
      <w:szCs w:val="16"/>
    </w:rPr>
  </w:style>
  <w:style w:type="table" w:styleId="TableGrid">
    <w:name w:val="Table Grid"/>
    <w:basedOn w:val="TableNormal"/>
    <w:rsid w:val="0039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0E1D"/>
    <w:pPr>
      <w:shd w:val="clear" w:color="auto" w:fill="000080"/>
    </w:pPr>
    <w:rPr>
      <w:rFonts w:ascii="Tahoma" w:hAnsi="Tahoma" w:cs="Tahoma"/>
      <w:sz w:val="20"/>
    </w:rPr>
  </w:style>
  <w:style w:type="paragraph" w:styleId="BodyText">
    <w:name w:val="Body Text"/>
    <w:basedOn w:val="Normal"/>
    <w:rsid w:val="009B02B2"/>
    <w:pPr>
      <w:widowControl w:val="0"/>
      <w:tabs>
        <w:tab w:val="left" w:pos="720"/>
        <w:tab w:val="left" w:pos="1804"/>
        <w:tab w:val="left" w:pos="2160"/>
        <w:tab w:val="left" w:pos="2880"/>
        <w:tab w:val="left" w:pos="3600"/>
        <w:tab w:val="left" w:pos="4320"/>
        <w:tab w:val="left" w:pos="5040"/>
        <w:tab w:val="left" w:pos="5760"/>
        <w:tab w:val="left" w:pos="6480"/>
        <w:tab w:val="left" w:pos="7200"/>
        <w:tab w:val="left" w:pos="7920"/>
        <w:tab w:val="left" w:pos="8640"/>
      </w:tabs>
    </w:pPr>
    <w:rPr>
      <w:b/>
      <w:color w:val="000000"/>
      <w:sz w:val="20"/>
    </w:rPr>
  </w:style>
  <w:style w:type="paragraph" w:styleId="BodyTextIndent">
    <w:name w:val="Body Text Indent"/>
    <w:basedOn w:val="Normal"/>
    <w:link w:val="BodyTextIndentChar"/>
    <w:rsid w:val="00A84239"/>
    <w:pPr>
      <w:spacing w:after="120"/>
      <w:ind w:left="283"/>
    </w:pPr>
  </w:style>
  <w:style w:type="character" w:customStyle="1" w:styleId="BodyTextIndentChar">
    <w:name w:val="Body Text Indent Char"/>
    <w:basedOn w:val="DefaultParagraphFont"/>
    <w:link w:val="BodyTextIndent"/>
    <w:rsid w:val="00A84239"/>
    <w:rPr>
      <w:sz w:val="22"/>
      <w:lang w:eastAsia="en-US"/>
    </w:rPr>
  </w:style>
  <w:style w:type="paragraph" w:styleId="Revision">
    <w:name w:val="Revision"/>
    <w:hidden/>
    <w:uiPriority w:val="99"/>
    <w:semiHidden/>
    <w:rsid w:val="005907FB"/>
    <w:rPr>
      <w:sz w:val="22"/>
      <w:lang w:eastAsia="en-US"/>
    </w:rPr>
  </w:style>
  <w:style w:type="character" w:styleId="CommentReference">
    <w:name w:val="annotation reference"/>
    <w:basedOn w:val="DefaultParagraphFont"/>
    <w:rsid w:val="00920BF9"/>
    <w:rPr>
      <w:sz w:val="16"/>
      <w:szCs w:val="16"/>
    </w:rPr>
  </w:style>
  <w:style w:type="paragraph" w:styleId="CommentText">
    <w:name w:val="annotation text"/>
    <w:basedOn w:val="Normal"/>
    <w:link w:val="CommentTextChar"/>
    <w:rsid w:val="00920BF9"/>
    <w:rPr>
      <w:sz w:val="20"/>
    </w:rPr>
  </w:style>
  <w:style w:type="character" w:customStyle="1" w:styleId="CommentTextChar">
    <w:name w:val="Comment Text Char"/>
    <w:basedOn w:val="DefaultParagraphFont"/>
    <w:link w:val="CommentText"/>
    <w:rsid w:val="00920BF9"/>
    <w:rPr>
      <w:lang w:eastAsia="en-US"/>
    </w:rPr>
  </w:style>
  <w:style w:type="paragraph" w:styleId="CommentSubject">
    <w:name w:val="annotation subject"/>
    <w:basedOn w:val="CommentText"/>
    <w:next w:val="CommentText"/>
    <w:link w:val="CommentSubjectChar"/>
    <w:rsid w:val="00920BF9"/>
    <w:rPr>
      <w:b/>
      <w:bCs/>
    </w:rPr>
  </w:style>
  <w:style w:type="character" w:customStyle="1" w:styleId="CommentSubjectChar">
    <w:name w:val="Comment Subject Char"/>
    <w:basedOn w:val="CommentTextChar"/>
    <w:link w:val="CommentSubject"/>
    <w:rsid w:val="00920BF9"/>
    <w:rPr>
      <w:b/>
      <w:bCs/>
      <w:lang w:eastAsia="en-US"/>
    </w:rPr>
  </w:style>
  <w:style w:type="character" w:customStyle="1" w:styleId="FooterChar">
    <w:name w:val="Footer Char"/>
    <w:basedOn w:val="DefaultParagraphFont"/>
    <w:link w:val="Footer"/>
    <w:uiPriority w:val="99"/>
    <w:rsid w:val="00697E5D"/>
    <w:rPr>
      <w:sz w:val="22"/>
      <w:lang w:eastAsia="en-US"/>
    </w:rPr>
  </w:style>
  <w:style w:type="character" w:styleId="Hyperlink">
    <w:name w:val="Hyperlink"/>
    <w:basedOn w:val="DefaultParagraphFont"/>
    <w:rsid w:val="005A76E5"/>
    <w:rPr>
      <w:color w:val="0000FF" w:themeColor="hyperlink"/>
      <w:u w:val="single"/>
    </w:rPr>
  </w:style>
  <w:style w:type="paragraph" w:styleId="ListParagraph">
    <w:name w:val="List Paragraph"/>
    <w:basedOn w:val="Normal"/>
    <w:uiPriority w:val="34"/>
    <w:qFormat/>
    <w:rsid w:val="00A53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84145">
      <w:bodyDiv w:val="1"/>
      <w:marLeft w:val="0"/>
      <w:marRight w:val="0"/>
      <w:marTop w:val="0"/>
      <w:marBottom w:val="0"/>
      <w:divBdr>
        <w:top w:val="none" w:sz="0" w:space="0" w:color="auto"/>
        <w:left w:val="none" w:sz="0" w:space="0" w:color="auto"/>
        <w:bottom w:val="none" w:sz="0" w:space="0" w:color="auto"/>
        <w:right w:val="none" w:sz="0" w:space="0" w:color="auto"/>
      </w:divBdr>
    </w:div>
    <w:div w:id="906722192">
      <w:bodyDiv w:val="1"/>
      <w:marLeft w:val="0"/>
      <w:marRight w:val="0"/>
      <w:marTop w:val="0"/>
      <w:marBottom w:val="0"/>
      <w:divBdr>
        <w:top w:val="none" w:sz="0" w:space="0" w:color="auto"/>
        <w:left w:val="none" w:sz="0" w:space="0" w:color="auto"/>
        <w:bottom w:val="none" w:sz="0" w:space="0" w:color="auto"/>
        <w:right w:val="none" w:sz="0" w:space="0" w:color="auto"/>
      </w:divBdr>
    </w:div>
    <w:div w:id="1102652016">
      <w:bodyDiv w:val="1"/>
      <w:marLeft w:val="0"/>
      <w:marRight w:val="0"/>
      <w:marTop w:val="0"/>
      <w:marBottom w:val="0"/>
      <w:divBdr>
        <w:top w:val="none" w:sz="0" w:space="0" w:color="auto"/>
        <w:left w:val="none" w:sz="0" w:space="0" w:color="auto"/>
        <w:bottom w:val="none" w:sz="0" w:space="0" w:color="auto"/>
        <w:right w:val="none" w:sz="0" w:space="0" w:color="auto"/>
      </w:divBdr>
    </w:div>
    <w:div w:id="11347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2565</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New Starter Checklist</vt:lpstr>
    </vt:vector>
  </TitlesOfParts>
  <Company>PD Ports</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Starter Checklist</dc:title>
  <dc:creator>Rachel Cawthorne, PDG</dc:creator>
  <cp:lastModifiedBy>Kirsty Jackson</cp:lastModifiedBy>
  <cp:revision>4</cp:revision>
  <cp:lastPrinted>2021-10-05T08:28:00Z</cp:lastPrinted>
  <dcterms:created xsi:type="dcterms:W3CDTF">2022-01-11T16:19:00Z</dcterms:created>
  <dcterms:modified xsi:type="dcterms:W3CDTF">2022-01-12T14:16:00Z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f769b7-1d30-41a4-8a87-259f40f8cc43_Enabled">
    <vt:lpwstr>true</vt:lpwstr>
  </property>
  <property fmtid="{D5CDD505-2E9C-101B-9397-08002B2CF9AE}" pid="3" name="MSIP_Label_41f769b7-1d30-41a4-8a87-259f40f8cc43_SetDate">
    <vt:lpwstr>2021-08-23T10:11:50Z</vt:lpwstr>
  </property>
  <property fmtid="{D5CDD505-2E9C-101B-9397-08002B2CF9AE}" pid="4" name="MSIP_Label_41f769b7-1d30-41a4-8a87-259f40f8cc43_Method">
    <vt:lpwstr>Privileged</vt:lpwstr>
  </property>
  <property fmtid="{D5CDD505-2E9C-101B-9397-08002B2CF9AE}" pid="5" name="MSIP_Label_41f769b7-1d30-41a4-8a87-259f40f8cc43_Name">
    <vt:lpwstr>Internal</vt:lpwstr>
  </property>
  <property fmtid="{D5CDD505-2E9C-101B-9397-08002B2CF9AE}" pid="6" name="MSIP_Label_41f769b7-1d30-41a4-8a87-259f40f8cc43_SiteId">
    <vt:lpwstr>85531b2d-bc0f-4189-b9f1-74140509dc67</vt:lpwstr>
  </property>
  <property fmtid="{D5CDD505-2E9C-101B-9397-08002B2CF9AE}" pid="7" name="MSIP_Label_41f769b7-1d30-41a4-8a87-259f40f8cc43_ActionId">
    <vt:lpwstr>8e3cdba7-a0aa-4e91-b7af-426db2e3b6bd</vt:lpwstr>
  </property>
  <property fmtid="{D5CDD505-2E9C-101B-9397-08002B2CF9AE}" pid="8" name="MSIP_Label_41f769b7-1d30-41a4-8a87-259f40f8cc43_ContentBits">
    <vt:lpwstr>0</vt:lpwstr>
  </property>
</Properties>
</file>